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F5" w:rsidRDefault="000C0E81" w:rsidP="00EE77F5">
      <w:pPr>
        <w:jc w:val="center"/>
        <w:rPr>
          <w:rFonts w:ascii="Arial" w:hAnsi="Arial" w:cs="Arial"/>
        </w:rPr>
      </w:pPr>
      <w:bookmarkStart w:id="0" w:name="_GoBack"/>
      <w:bookmarkEnd w:id="0"/>
      <w:r w:rsidRPr="00EE77F5">
        <w:rPr>
          <w:rFonts w:ascii="Arial" w:hAnsi="Arial" w:cs="Arial"/>
          <w:noProof/>
        </w:rPr>
        <w:drawing>
          <wp:inline distT="0" distB="0" distL="0" distR="0" wp14:anchorId="7B197129" wp14:editId="1A1738C5">
            <wp:extent cx="36957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inline>
        </w:drawing>
      </w:r>
    </w:p>
    <w:p w:rsidR="00165AC7" w:rsidRPr="003B4EE1" w:rsidRDefault="00165AC7">
      <w:pPr>
        <w:pStyle w:val="BodyText"/>
        <w:kinsoku w:val="0"/>
        <w:overflowPunct w:val="0"/>
        <w:spacing w:before="12"/>
        <w:ind w:left="0"/>
        <w:rPr>
          <w:rFonts w:asciiTheme="minorHAnsi" w:hAnsiTheme="minorHAnsi"/>
          <w:b/>
          <w:bCs/>
          <w:i/>
          <w:iCs/>
          <w:sz w:val="18"/>
          <w:szCs w:val="18"/>
        </w:rPr>
      </w:pPr>
    </w:p>
    <w:p w:rsidR="009E06ED" w:rsidRPr="009E06ED" w:rsidRDefault="009E06ED" w:rsidP="009E06ED">
      <w:pPr>
        <w:pStyle w:val="BodyText"/>
        <w:tabs>
          <w:tab w:val="left" w:pos="554"/>
        </w:tabs>
        <w:kinsoku w:val="0"/>
        <w:overflowPunct w:val="0"/>
        <w:ind w:left="0"/>
        <w:jc w:val="center"/>
        <w:rPr>
          <w:rFonts w:ascii="Arial" w:hAnsi="Arial" w:cs="Arial"/>
          <w:b/>
          <w:smallCaps/>
          <w:color w:val="000000"/>
          <w:sz w:val="24"/>
          <w:szCs w:val="24"/>
        </w:rPr>
      </w:pPr>
      <w:r w:rsidRPr="009E06ED">
        <w:rPr>
          <w:rFonts w:ascii="Arial" w:hAnsi="Arial" w:cs="Arial"/>
          <w:b/>
          <w:bCs/>
          <w:smallCaps/>
          <w:sz w:val="24"/>
          <w:szCs w:val="24"/>
        </w:rPr>
        <w:t>A Resolution</w:t>
      </w:r>
      <w:r w:rsidRPr="009E06ED">
        <w:rPr>
          <w:rFonts w:ascii="Arial" w:hAnsi="Arial" w:cs="Arial"/>
          <w:b/>
          <w:bCs/>
          <w:smallCaps/>
          <w:spacing w:val="-4"/>
          <w:sz w:val="24"/>
          <w:szCs w:val="24"/>
        </w:rPr>
        <w:t xml:space="preserve"> </w:t>
      </w:r>
      <w:r w:rsidRPr="009E06ED">
        <w:rPr>
          <w:rFonts w:ascii="Arial" w:hAnsi="Arial" w:cs="Arial"/>
          <w:b/>
          <w:smallCaps/>
          <w:color w:val="000000"/>
          <w:sz w:val="24"/>
          <w:szCs w:val="24"/>
        </w:rPr>
        <w:t>urging Congress to continue to provide adequate funding levels for Native American housing programs</w:t>
      </w:r>
    </w:p>
    <w:p w:rsidR="009E06ED" w:rsidRPr="009E06ED" w:rsidRDefault="009E06ED" w:rsidP="009E06ED">
      <w:pPr>
        <w:pStyle w:val="BodyText"/>
        <w:tabs>
          <w:tab w:val="left" w:pos="554"/>
        </w:tabs>
        <w:kinsoku w:val="0"/>
        <w:overflowPunct w:val="0"/>
        <w:ind w:left="0"/>
        <w:jc w:val="center"/>
        <w:rPr>
          <w:rFonts w:ascii="Arial" w:hAnsi="Arial" w:cs="Arial"/>
          <w:b/>
          <w:caps/>
          <w:color w:val="000000"/>
          <w:sz w:val="24"/>
          <w:szCs w:val="24"/>
        </w:rPr>
      </w:pPr>
    </w:p>
    <w:p w:rsidR="009E06ED" w:rsidRPr="00D70AF4" w:rsidRDefault="00D70AF4" w:rsidP="009E06ED">
      <w:pPr>
        <w:pStyle w:val="BodyText"/>
        <w:tabs>
          <w:tab w:val="left" w:pos="554"/>
        </w:tabs>
        <w:kinsoku w:val="0"/>
        <w:overflowPunct w:val="0"/>
        <w:ind w:left="0"/>
        <w:jc w:val="center"/>
        <w:rPr>
          <w:rFonts w:ascii="Arial" w:hAnsi="Arial" w:cs="Arial"/>
          <w:caps/>
          <w:sz w:val="24"/>
          <w:szCs w:val="24"/>
        </w:rPr>
      </w:pPr>
      <w:r w:rsidRPr="00D70AF4">
        <w:rPr>
          <w:rFonts w:ascii="Arial" w:hAnsi="Arial" w:cs="Arial"/>
          <w:caps/>
          <w:color w:val="000000"/>
          <w:sz w:val="24"/>
          <w:szCs w:val="24"/>
        </w:rPr>
        <w:t xml:space="preserve">RESOLUTION </w:t>
      </w:r>
      <w:r w:rsidR="00CD695A" w:rsidRPr="00D70AF4">
        <w:rPr>
          <w:rFonts w:ascii="Arial" w:hAnsi="Arial" w:cs="Arial"/>
          <w:caps/>
          <w:color w:val="000000"/>
          <w:sz w:val="24"/>
          <w:szCs w:val="24"/>
        </w:rPr>
        <w:t>#2016 – 02</w:t>
      </w:r>
    </w:p>
    <w:p w:rsidR="009E06ED" w:rsidRPr="009E06ED" w:rsidRDefault="009E06ED" w:rsidP="009E06ED">
      <w:pPr>
        <w:pStyle w:val="BodyText"/>
        <w:kinsoku w:val="0"/>
        <w:overflowPunct w:val="0"/>
        <w:ind w:left="0"/>
        <w:jc w:val="center"/>
        <w:rPr>
          <w:rFonts w:ascii="Arial" w:hAnsi="Arial" w:cs="Arial"/>
          <w:b/>
          <w:bCs/>
          <w:sz w:val="24"/>
          <w:szCs w:val="24"/>
        </w:rPr>
      </w:pPr>
    </w:p>
    <w:p w:rsidR="009E06ED" w:rsidRPr="009E06ED" w:rsidRDefault="009E06ED" w:rsidP="009E06ED">
      <w:pPr>
        <w:pStyle w:val="BodyText"/>
        <w:tabs>
          <w:tab w:val="left" w:pos="1676"/>
        </w:tabs>
        <w:kinsoku w:val="0"/>
        <w:overflowPunct w:val="0"/>
        <w:ind w:left="1676" w:right="105" w:hanging="1455"/>
        <w:rPr>
          <w:rFonts w:ascii="Arial" w:hAnsi="Arial" w:cs="Arial"/>
          <w:sz w:val="24"/>
          <w:szCs w:val="24"/>
        </w:rPr>
      </w:pPr>
      <w:r w:rsidRPr="009E06ED">
        <w:rPr>
          <w:rFonts w:ascii="Arial" w:hAnsi="Arial" w:cs="Arial"/>
          <w:spacing w:val="-1"/>
          <w:w w:val="95"/>
          <w:sz w:val="24"/>
          <w:szCs w:val="24"/>
        </w:rPr>
        <w:t>WHEREAS,</w:t>
      </w:r>
      <w:r w:rsidRPr="009E06ED">
        <w:rPr>
          <w:rFonts w:ascii="Arial" w:hAnsi="Arial" w:cs="Arial"/>
          <w:spacing w:val="-1"/>
          <w:w w:val="95"/>
          <w:sz w:val="24"/>
          <w:szCs w:val="24"/>
        </w:rPr>
        <w:tab/>
      </w:r>
      <w:r w:rsidRPr="009E06ED">
        <w:rPr>
          <w:rFonts w:ascii="Arial" w:hAnsi="Arial" w:cs="Arial"/>
          <w:sz w:val="24"/>
          <w:szCs w:val="24"/>
        </w:rPr>
        <w:t>The</w:t>
      </w:r>
      <w:r w:rsidRPr="009E06ED">
        <w:rPr>
          <w:rFonts w:ascii="Arial" w:hAnsi="Arial" w:cs="Arial"/>
          <w:spacing w:val="-2"/>
          <w:sz w:val="24"/>
          <w:szCs w:val="24"/>
        </w:rPr>
        <w:t xml:space="preserve"> </w:t>
      </w:r>
      <w:r w:rsidRPr="009E06ED">
        <w:rPr>
          <w:rFonts w:ascii="Arial" w:hAnsi="Arial" w:cs="Arial"/>
          <w:sz w:val="24"/>
          <w:szCs w:val="24"/>
        </w:rPr>
        <w:t>National</w:t>
      </w:r>
      <w:r w:rsidRPr="009E06ED">
        <w:rPr>
          <w:rFonts w:ascii="Arial" w:hAnsi="Arial" w:cs="Arial"/>
          <w:spacing w:val="-2"/>
          <w:sz w:val="24"/>
          <w:szCs w:val="24"/>
        </w:rPr>
        <w:t xml:space="preserve"> </w:t>
      </w:r>
      <w:r w:rsidRPr="009E06ED">
        <w:rPr>
          <w:rFonts w:ascii="Arial" w:hAnsi="Arial" w:cs="Arial"/>
          <w:sz w:val="24"/>
          <w:szCs w:val="24"/>
        </w:rPr>
        <w:t>American</w:t>
      </w:r>
      <w:r w:rsidRPr="009E06ED">
        <w:rPr>
          <w:rFonts w:ascii="Arial" w:hAnsi="Arial" w:cs="Arial"/>
          <w:spacing w:val="-1"/>
          <w:sz w:val="24"/>
          <w:szCs w:val="24"/>
        </w:rPr>
        <w:t xml:space="preserve"> </w:t>
      </w:r>
      <w:r w:rsidRPr="009E06ED">
        <w:rPr>
          <w:rFonts w:ascii="Arial" w:hAnsi="Arial" w:cs="Arial"/>
          <w:sz w:val="24"/>
          <w:szCs w:val="24"/>
        </w:rPr>
        <w:t>Indian</w:t>
      </w:r>
      <w:r w:rsidRPr="009E06ED">
        <w:rPr>
          <w:rFonts w:ascii="Arial" w:hAnsi="Arial" w:cs="Arial"/>
          <w:spacing w:val="-2"/>
          <w:sz w:val="24"/>
          <w:szCs w:val="24"/>
        </w:rPr>
        <w:t xml:space="preserve"> </w:t>
      </w:r>
      <w:r w:rsidRPr="009E06ED">
        <w:rPr>
          <w:rFonts w:ascii="Arial" w:hAnsi="Arial" w:cs="Arial"/>
          <w:spacing w:val="-1"/>
          <w:sz w:val="24"/>
          <w:szCs w:val="24"/>
        </w:rPr>
        <w:t>Housing</w:t>
      </w:r>
      <w:r w:rsidRPr="009E06ED">
        <w:rPr>
          <w:rFonts w:ascii="Arial" w:hAnsi="Arial" w:cs="Arial"/>
          <w:spacing w:val="-3"/>
          <w:sz w:val="24"/>
          <w:szCs w:val="24"/>
        </w:rPr>
        <w:t xml:space="preserve"> </w:t>
      </w:r>
      <w:r w:rsidRPr="009E06ED">
        <w:rPr>
          <w:rFonts w:ascii="Arial" w:hAnsi="Arial" w:cs="Arial"/>
          <w:spacing w:val="-1"/>
          <w:sz w:val="24"/>
          <w:szCs w:val="24"/>
        </w:rPr>
        <w:t>Council</w:t>
      </w:r>
      <w:r w:rsidRPr="009E06ED">
        <w:rPr>
          <w:rFonts w:ascii="Arial" w:hAnsi="Arial" w:cs="Arial"/>
          <w:spacing w:val="-2"/>
          <w:sz w:val="24"/>
          <w:szCs w:val="24"/>
        </w:rPr>
        <w:t xml:space="preserve"> </w:t>
      </w:r>
      <w:r w:rsidRPr="009E06ED">
        <w:rPr>
          <w:rFonts w:ascii="Arial" w:hAnsi="Arial" w:cs="Arial"/>
          <w:spacing w:val="-1"/>
          <w:sz w:val="24"/>
          <w:szCs w:val="24"/>
        </w:rPr>
        <w:t>represents</w:t>
      </w:r>
      <w:r w:rsidRPr="009E06ED">
        <w:rPr>
          <w:rFonts w:ascii="Arial" w:hAnsi="Arial" w:cs="Arial"/>
          <w:spacing w:val="-3"/>
          <w:sz w:val="24"/>
          <w:szCs w:val="24"/>
        </w:rPr>
        <w:t xml:space="preserve"> </w:t>
      </w:r>
      <w:r w:rsidRPr="009E06ED">
        <w:rPr>
          <w:rFonts w:ascii="Arial" w:hAnsi="Arial" w:cs="Arial"/>
          <w:sz w:val="24"/>
          <w:szCs w:val="24"/>
        </w:rPr>
        <w:t>the</w:t>
      </w:r>
      <w:r w:rsidRPr="009E06ED">
        <w:rPr>
          <w:rFonts w:ascii="Arial" w:hAnsi="Arial" w:cs="Arial"/>
          <w:spacing w:val="-1"/>
          <w:sz w:val="24"/>
          <w:szCs w:val="24"/>
        </w:rPr>
        <w:t xml:space="preserve"> housing</w:t>
      </w:r>
      <w:r w:rsidRPr="009E06ED">
        <w:rPr>
          <w:rFonts w:ascii="Arial" w:hAnsi="Arial" w:cs="Arial"/>
          <w:spacing w:val="-3"/>
          <w:sz w:val="24"/>
          <w:szCs w:val="24"/>
        </w:rPr>
        <w:t xml:space="preserve"> </w:t>
      </w:r>
      <w:r w:rsidRPr="009E06ED">
        <w:rPr>
          <w:rFonts w:ascii="Arial" w:hAnsi="Arial" w:cs="Arial"/>
          <w:sz w:val="24"/>
          <w:szCs w:val="24"/>
        </w:rPr>
        <w:t>interests</w:t>
      </w:r>
      <w:r w:rsidRPr="009E06ED">
        <w:rPr>
          <w:rFonts w:ascii="Arial" w:hAnsi="Arial" w:cs="Arial"/>
          <w:spacing w:val="-2"/>
          <w:sz w:val="24"/>
          <w:szCs w:val="24"/>
        </w:rPr>
        <w:t xml:space="preserve"> </w:t>
      </w:r>
      <w:r w:rsidRPr="009E06ED">
        <w:rPr>
          <w:rFonts w:ascii="Arial" w:hAnsi="Arial" w:cs="Arial"/>
          <w:spacing w:val="-1"/>
          <w:sz w:val="24"/>
          <w:szCs w:val="24"/>
        </w:rPr>
        <w:t>of</w:t>
      </w:r>
      <w:r w:rsidRPr="009E06ED">
        <w:rPr>
          <w:rFonts w:ascii="Arial" w:hAnsi="Arial" w:cs="Arial"/>
          <w:spacing w:val="56"/>
          <w:sz w:val="24"/>
          <w:szCs w:val="24"/>
        </w:rPr>
        <w:t xml:space="preserve"> </w:t>
      </w:r>
      <w:r w:rsidRPr="009E06ED">
        <w:rPr>
          <w:rFonts w:ascii="Arial" w:hAnsi="Arial" w:cs="Arial"/>
          <w:sz w:val="24"/>
          <w:szCs w:val="24"/>
        </w:rPr>
        <w:t>American</w:t>
      </w:r>
      <w:r w:rsidRPr="009E06ED">
        <w:rPr>
          <w:rFonts w:ascii="Arial" w:hAnsi="Arial" w:cs="Arial"/>
          <w:spacing w:val="38"/>
          <w:sz w:val="24"/>
          <w:szCs w:val="24"/>
        </w:rPr>
        <w:t xml:space="preserve"> </w:t>
      </w:r>
      <w:r w:rsidRPr="009E06ED">
        <w:rPr>
          <w:rFonts w:ascii="Arial" w:hAnsi="Arial" w:cs="Arial"/>
          <w:sz w:val="24"/>
          <w:szCs w:val="24"/>
        </w:rPr>
        <w:t>Indian</w:t>
      </w:r>
      <w:r w:rsidRPr="009E06ED">
        <w:rPr>
          <w:rFonts w:ascii="Arial" w:hAnsi="Arial" w:cs="Arial"/>
          <w:spacing w:val="40"/>
          <w:sz w:val="24"/>
          <w:szCs w:val="24"/>
        </w:rPr>
        <w:t xml:space="preserve"> </w:t>
      </w:r>
      <w:r w:rsidRPr="009E06ED">
        <w:rPr>
          <w:rFonts w:ascii="Arial" w:hAnsi="Arial" w:cs="Arial"/>
          <w:sz w:val="24"/>
          <w:szCs w:val="24"/>
        </w:rPr>
        <w:t>tribes,</w:t>
      </w:r>
      <w:r w:rsidRPr="009E06ED">
        <w:rPr>
          <w:rFonts w:ascii="Arial" w:hAnsi="Arial" w:cs="Arial"/>
          <w:spacing w:val="36"/>
          <w:sz w:val="24"/>
          <w:szCs w:val="24"/>
        </w:rPr>
        <w:t xml:space="preserve"> </w:t>
      </w:r>
      <w:r w:rsidRPr="009E06ED">
        <w:rPr>
          <w:rFonts w:ascii="Arial" w:hAnsi="Arial" w:cs="Arial"/>
          <w:spacing w:val="-1"/>
          <w:sz w:val="24"/>
          <w:szCs w:val="24"/>
        </w:rPr>
        <w:t>Alaska</w:t>
      </w:r>
      <w:r w:rsidRPr="009E06ED">
        <w:rPr>
          <w:rFonts w:ascii="Arial" w:hAnsi="Arial" w:cs="Arial"/>
          <w:spacing w:val="37"/>
          <w:sz w:val="24"/>
          <w:szCs w:val="24"/>
        </w:rPr>
        <w:t xml:space="preserve"> </w:t>
      </w:r>
      <w:r w:rsidRPr="009E06ED">
        <w:rPr>
          <w:rFonts w:ascii="Arial" w:hAnsi="Arial" w:cs="Arial"/>
          <w:sz w:val="24"/>
          <w:szCs w:val="24"/>
        </w:rPr>
        <w:t>Native</w:t>
      </w:r>
      <w:r w:rsidRPr="009E06ED">
        <w:rPr>
          <w:rFonts w:ascii="Arial" w:hAnsi="Arial" w:cs="Arial"/>
          <w:spacing w:val="36"/>
          <w:sz w:val="24"/>
          <w:szCs w:val="24"/>
        </w:rPr>
        <w:t xml:space="preserve"> </w:t>
      </w:r>
      <w:r w:rsidRPr="009E06ED">
        <w:rPr>
          <w:rFonts w:ascii="Arial" w:hAnsi="Arial" w:cs="Arial"/>
          <w:sz w:val="24"/>
          <w:szCs w:val="24"/>
        </w:rPr>
        <w:t>villages,</w:t>
      </w:r>
      <w:r w:rsidRPr="009E06ED">
        <w:rPr>
          <w:rFonts w:ascii="Arial" w:hAnsi="Arial" w:cs="Arial"/>
          <w:spacing w:val="36"/>
          <w:sz w:val="24"/>
          <w:szCs w:val="24"/>
        </w:rPr>
        <w:t xml:space="preserve"> </w:t>
      </w:r>
      <w:r w:rsidRPr="009E06ED">
        <w:rPr>
          <w:rFonts w:ascii="Arial" w:hAnsi="Arial" w:cs="Arial"/>
          <w:sz w:val="24"/>
          <w:szCs w:val="24"/>
        </w:rPr>
        <w:t>and</w:t>
      </w:r>
      <w:r w:rsidRPr="009E06ED">
        <w:rPr>
          <w:rFonts w:ascii="Arial" w:hAnsi="Arial" w:cs="Arial"/>
          <w:spacing w:val="37"/>
          <w:sz w:val="24"/>
          <w:szCs w:val="24"/>
        </w:rPr>
        <w:t xml:space="preserve"> </w:t>
      </w:r>
      <w:r w:rsidRPr="009E06ED">
        <w:rPr>
          <w:rFonts w:ascii="Arial" w:hAnsi="Arial" w:cs="Arial"/>
          <w:sz w:val="24"/>
          <w:szCs w:val="24"/>
        </w:rPr>
        <w:t>native</w:t>
      </w:r>
      <w:r w:rsidRPr="009E06ED">
        <w:rPr>
          <w:rFonts w:ascii="Arial" w:hAnsi="Arial" w:cs="Arial"/>
          <w:spacing w:val="36"/>
          <w:sz w:val="24"/>
          <w:szCs w:val="24"/>
        </w:rPr>
        <w:t xml:space="preserve"> </w:t>
      </w:r>
      <w:r w:rsidRPr="009E06ED">
        <w:rPr>
          <w:rFonts w:ascii="Arial" w:hAnsi="Arial" w:cs="Arial"/>
          <w:spacing w:val="-1"/>
          <w:sz w:val="24"/>
          <w:szCs w:val="24"/>
        </w:rPr>
        <w:t>Hawaiian</w:t>
      </w:r>
      <w:r w:rsidRPr="009E06ED">
        <w:rPr>
          <w:rFonts w:ascii="Arial" w:hAnsi="Arial" w:cs="Arial"/>
          <w:spacing w:val="37"/>
          <w:sz w:val="24"/>
          <w:szCs w:val="24"/>
        </w:rPr>
        <w:t xml:space="preserve"> </w:t>
      </w:r>
      <w:r w:rsidRPr="009E06ED">
        <w:rPr>
          <w:rFonts w:ascii="Arial" w:hAnsi="Arial" w:cs="Arial"/>
          <w:spacing w:val="-1"/>
          <w:sz w:val="24"/>
          <w:szCs w:val="24"/>
        </w:rPr>
        <w:t>Home</w:t>
      </w:r>
      <w:r w:rsidRPr="009E06ED">
        <w:rPr>
          <w:rFonts w:ascii="Arial" w:hAnsi="Arial" w:cs="Arial"/>
          <w:spacing w:val="37"/>
          <w:sz w:val="24"/>
          <w:szCs w:val="24"/>
        </w:rPr>
        <w:t xml:space="preserve"> </w:t>
      </w:r>
      <w:r w:rsidRPr="009E06ED">
        <w:rPr>
          <w:rFonts w:ascii="Arial" w:hAnsi="Arial" w:cs="Arial"/>
          <w:spacing w:val="-1"/>
          <w:sz w:val="24"/>
          <w:szCs w:val="24"/>
        </w:rPr>
        <w:t>Lands</w:t>
      </w:r>
      <w:r w:rsidRPr="009E06ED">
        <w:rPr>
          <w:rFonts w:ascii="Arial" w:hAnsi="Arial" w:cs="Arial"/>
          <w:spacing w:val="44"/>
          <w:sz w:val="24"/>
          <w:szCs w:val="24"/>
        </w:rPr>
        <w:t xml:space="preserve"> </w:t>
      </w:r>
      <w:r w:rsidRPr="009E06ED">
        <w:rPr>
          <w:rFonts w:ascii="Arial" w:hAnsi="Arial" w:cs="Arial"/>
          <w:sz w:val="24"/>
          <w:szCs w:val="24"/>
        </w:rPr>
        <w:t>and</w:t>
      </w:r>
      <w:r w:rsidRPr="009E06ED">
        <w:rPr>
          <w:rFonts w:ascii="Arial" w:hAnsi="Arial" w:cs="Arial"/>
          <w:spacing w:val="17"/>
          <w:sz w:val="24"/>
          <w:szCs w:val="24"/>
        </w:rPr>
        <w:t xml:space="preserve"> </w:t>
      </w:r>
      <w:r w:rsidRPr="009E06ED">
        <w:rPr>
          <w:rFonts w:ascii="Arial" w:hAnsi="Arial" w:cs="Arial"/>
          <w:sz w:val="24"/>
          <w:szCs w:val="24"/>
        </w:rPr>
        <w:t>more</w:t>
      </w:r>
      <w:r w:rsidRPr="009E06ED">
        <w:rPr>
          <w:rFonts w:ascii="Arial" w:hAnsi="Arial" w:cs="Arial"/>
          <w:spacing w:val="17"/>
          <w:sz w:val="24"/>
          <w:szCs w:val="24"/>
        </w:rPr>
        <w:t xml:space="preserve"> </w:t>
      </w:r>
      <w:r w:rsidRPr="009E06ED">
        <w:rPr>
          <w:rFonts w:ascii="Arial" w:hAnsi="Arial" w:cs="Arial"/>
          <w:sz w:val="24"/>
          <w:szCs w:val="24"/>
        </w:rPr>
        <w:t>than</w:t>
      </w:r>
      <w:r w:rsidRPr="009E06ED">
        <w:rPr>
          <w:rFonts w:ascii="Arial" w:hAnsi="Arial" w:cs="Arial"/>
          <w:spacing w:val="21"/>
          <w:sz w:val="24"/>
          <w:szCs w:val="24"/>
        </w:rPr>
        <w:t xml:space="preserve"> </w:t>
      </w:r>
      <w:r w:rsidRPr="009E06ED">
        <w:rPr>
          <w:rFonts w:ascii="Arial" w:hAnsi="Arial" w:cs="Arial"/>
          <w:sz w:val="24"/>
          <w:szCs w:val="24"/>
        </w:rPr>
        <w:t>277</w:t>
      </w:r>
      <w:r w:rsidRPr="009E06ED">
        <w:rPr>
          <w:rFonts w:ascii="Arial" w:hAnsi="Arial" w:cs="Arial"/>
          <w:spacing w:val="17"/>
          <w:sz w:val="24"/>
          <w:szCs w:val="24"/>
        </w:rPr>
        <w:t xml:space="preserve"> </w:t>
      </w:r>
      <w:r w:rsidRPr="009E06ED">
        <w:rPr>
          <w:rFonts w:ascii="Arial" w:hAnsi="Arial" w:cs="Arial"/>
          <w:sz w:val="24"/>
          <w:szCs w:val="24"/>
        </w:rPr>
        <w:t>tribally</w:t>
      </w:r>
      <w:r w:rsidRPr="009E06ED">
        <w:rPr>
          <w:rFonts w:ascii="Arial" w:hAnsi="Arial" w:cs="Arial"/>
          <w:spacing w:val="14"/>
          <w:sz w:val="24"/>
          <w:szCs w:val="24"/>
        </w:rPr>
        <w:t xml:space="preserve"> </w:t>
      </w:r>
      <w:r w:rsidRPr="009E06ED">
        <w:rPr>
          <w:rFonts w:ascii="Arial" w:hAnsi="Arial" w:cs="Arial"/>
          <w:sz w:val="24"/>
          <w:szCs w:val="24"/>
        </w:rPr>
        <w:t>designated</w:t>
      </w:r>
      <w:r w:rsidRPr="009E06ED">
        <w:rPr>
          <w:rFonts w:ascii="Arial" w:hAnsi="Arial" w:cs="Arial"/>
          <w:spacing w:val="15"/>
          <w:sz w:val="24"/>
          <w:szCs w:val="24"/>
        </w:rPr>
        <w:t xml:space="preserve"> </w:t>
      </w:r>
      <w:r w:rsidRPr="009E06ED">
        <w:rPr>
          <w:rFonts w:ascii="Arial" w:hAnsi="Arial" w:cs="Arial"/>
          <w:spacing w:val="-1"/>
          <w:sz w:val="24"/>
          <w:szCs w:val="24"/>
        </w:rPr>
        <w:t>housing</w:t>
      </w:r>
      <w:r w:rsidRPr="009E06ED">
        <w:rPr>
          <w:rFonts w:ascii="Arial" w:hAnsi="Arial" w:cs="Arial"/>
          <w:spacing w:val="15"/>
          <w:sz w:val="24"/>
          <w:szCs w:val="24"/>
        </w:rPr>
        <w:t xml:space="preserve"> </w:t>
      </w:r>
      <w:r w:rsidRPr="009E06ED">
        <w:rPr>
          <w:rFonts w:ascii="Arial" w:hAnsi="Arial" w:cs="Arial"/>
          <w:sz w:val="24"/>
          <w:szCs w:val="24"/>
        </w:rPr>
        <w:t>entities</w:t>
      </w:r>
      <w:r w:rsidRPr="009E06ED">
        <w:rPr>
          <w:rFonts w:ascii="Arial" w:hAnsi="Arial" w:cs="Arial"/>
          <w:spacing w:val="18"/>
          <w:sz w:val="24"/>
          <w:szCs w:val="24"/>
        </w:rPr>
        <w:t xml:space="preserve"> </w:t>
      </w:r>
      <w:r w:rsidRPr="009E06ED">
        <w:rPr>
          <w:rFonts w:ascii="Arial" w:hAnsi="Arial" w:cs="Arial"/>
          <w:sz w:val="24"/>
          <w:szCs w:val="24"/>
        </w:rPr>
        <w:t>providing</w:t>
      </w:r>
      <w:r w:rsidRPr="009E06ED">
        <w:rPr>
          <w:rFonts w:ascii="Arial" w:hAnsi="Arial" w:cs="Arial"/>
          <w:spacing w:val="14"/>
          <w:sz w:val="24"/>
          <w:szCs w:val="24"/>
        </w:rPr>
        <w:t xml:space="preserve"> </w:t>
      </w:r>
      <w:r w:rsidRPr="009E06ED">
        <w:rPr>
          <w:rFonts w:ascii="Arial" w:hAnsi="Arial" w:cs="Arial"/>
          <w:spacing w:val="-1"/>
          <w:sz w:val="24"/>
          <w:szCs w:val="24"/>
        </w:rPr>
        <w:t>housing</w:t>
      </w:r>
      <w:r w:rsidRPr="009E06ED">
        <w:rPr>
          <w:rFonts w:ascii="Arial" w:hAnsi="Arial" w:cs="Arial"/>
          <w:spacing w:val="14"/>
          <w:sz w:val="24"/>
          <w:szCs w:val="24"/>
        </w:rPr>
        <w:t xml:space="preserve"> </w:t>
      </w:r>
      <w:r w:rsidRPr="009E06ED">
        <w:rPr>
          <w:rFonts w:ascii="Arial" w:hAnsi="Arial" w:cs="Arial"/>
          <w:spacing w:val="-1"/>
          <w:sz w:val="24"/>
          <w:szCs w:val="24"/>
        </w:rPr>
        <w:t>services</w:t>
      </w:r>
      <w:r w:rsidRPr="009E06ED">
        <w:rPr>
          <w:rFonts w:ascii="Arial" w:hAnsi="Arial" w:cs="Arial"/>
          <w:spacing w:val="35"/>
          <w:w w:val="99"/>
          <w:sz w:val="24"/>
          <w:szCs w:val="24"/>
        </w:rPr>
        <w:t xml:space="preserve"> </w:t>
      </w:r>
      <w:r w:rsidRPr="009E06ED">
        <w:rPr>
          <w:rFonts w:ascii="Arial" w:hAnsi="Arial" w:cs="Arial"/>
          <w:sz w:val="24"/>
          <w:szCs w:val="24"/>
        </w:rPr>
        <w:t>to</w:t>
      </w:r>
      <w:r w:rsidRPr="009E06ED">
        <w:rPr>
          <w:rFonts w:ascii="Arial" w:hAnsi="Arial" w:cs="Arial"/>
          <w:spacing w:val="-3"/>
          <w:sz w:val="24"/>
          <w:szCs w:val="24"/>
        </w:rPr>
        <w:t xml:space="preserve"> </w:t>
      </w:r>
      <w:r w:rsidRPr="009E06ED">
        <w:rPr>
          <w:rFonts w:ascii="Arial" w:hAnsi="Arial" w:cs="Arial"/>
          <w:sz w:val="24"/>
          <w:szCs w:val="24"/>
        </w:rPr>
        <w:t>approximately</w:t>
      </w:r>
      <w:r w:rsidRPr="009E06ED">
        <w:rPr>
          <w:rFonts w:ascii="Arial" w:hAnsi="Arial" w:cs="Arial"/>
          <w:spacing w:val="-2"/>
          <w:sz w:val="24"/>
          <w:szCs w:val="24"/>
        </w:rPr>
        <w:t xml:space="preserve"> </w:t>
      </w:r>
      <w:r w:rsidRPr="009E06ED">
        <w:rPr>
          <w:rFonts w:ascii="Arial" w:hAnsi="Arial" w:cs="Arial"/>
          <w:sz w:val="24"/>
          <w:szCs w:val="24"/>
        </w:rPr>
        <w:t>466</w:t>
      </w:r>
      <w:r w:rsidRPr="009E06ED">
        <w:rPr>
          <w:rFonts w:ascii="Arial" w:hAnsi="Arial" w:cs="Arial"/>
          <w:spacing w:val="-3"/>
          <w:sz w:val="24"/>
          <w:szCs w:val="24"/>
        </w:rPr>
        <w:t xml:space="preserve"> </w:t>
      </w:r>
      <w:r w:rsidRPr="009E06ED">
        <w:rPr>
          <w:rFonts w:ascii="Arial" w:hAnsi="Arial" w:cs="Arial"/>
          <w:sz w:val="24"/>
          <w:szCs w:val="24"/>
        </w:rPr>
        <w:t>tribes,</w:t>
      </w:r>
      <w:r w:rsidRPr="009E06ED">
        <w:rPr>
          <w:rFonts w:ascii="Arial" w:hAnsi="Arial" w:cs="Arial"/>
          <w:spacing w:val="-4"/>
          <w:sz w:val="24"/>
          <w:szCs w:val="24"/>
        </w:rPr>
        <w:t xml:space="preserve"> </w:t>
      </w:r>
      <w:r w:rsidRPr="009E06ED">
        <w:rPr>
          <w:rFonts w:ascii="Arial" w:hAnsi="Arial" w:cs="Arial"/>
          <w:spacing w:val="-1"/>
          <w:sz w:val="24"/>
          <w:szCs w:val="24"/>
        </w:rPr>
        <w:t>Alaska</w:t>
      </w:r>
      <w:r w:rsidRPr="009E06ED">
        <w:rPr>
          <w:rFonts w:ascii="Arial" w:hAnsi="Arial" w:cs="Arial"/>
          <w:spacing w:val="-4"/>
          <w:sz w:val="24"/>
          <w:szCs w:val="24"/>
        </w:rPr>
        <w:t xml:space="preserve"> </w:t>
      </w:r>
      <w:r w:rsidRPr="009E06ED">
        <w:rPr>
          <w:rFonts w:ascii="Arial" w:hAnsi="Arial" w:cs="Arial"/>
          <w:sz w:val="24"/>
          <w:szCs w:val="24"/>
        </w:rPr>
        <w:t>Natives,</w:t>
      </w:r>
      <w:r w:rsidRPr="009E06ED">
        <w:rPr>
          <w:rFonts w:ascii="Arial" w:hAnsi="Arial" w:cs="Arial"/>
          <w:spacing w:val="-4"/>
          <w:sz w:val="24"/>
          <w:szCs w:val="24"/>
        </w:rPr>
        <w:t xml:space="preserve"> </w:t>
      </w:r>
      <w:r w:rsidRPr="009E06ED">
        <w:rPr>
          <w:rFonts w:ascii="Arial" w:hAnsi="Arial" w:cs="Arial"/>
          <w:sz w:val="24"/>
          <w:szCs w:val="24"/>
        </w:rPr>
        <w:t>and</w:t>
      </w:r>
      <w:r w:rsidRPr="009E06ED">
        <w:rPr>
          <w:rFonts w:ascii="Arial" w:hAnsi="Arial" w:cs="Arial"/>
          <w:spacing w:val="-3"/>
          <w:sz w:val="24"/>
          <w:szCs w:val="24"/>
        </w:rPr>
        <w:t xml:space="preserve"> </w:t>
      </w:r>
      <w:r w:rsidRPr="009E06ED">
        <w:rPr>
          <w:rFonts w:ascii="Arial" w:hAnsi="Arial" w:cs="Arial"/>
          <w:sz w:val="24"/>
          <w:szCs w:val="24"/>
        </w:rPr>
        <w:t>native</w:t>
      </w:r>
      <w:r w:rsidRPr="009E06ED">
        <w:rPr>
          <w:rFonts w:ascii="Arial" w:hAnsi="Arial" w:cs="Arial"/>
          <w:spacing w:val="-4"/>
          <w:sz w:val="24"/>
          <w:szCs w:val="24"/>
        </w:rPr>
        <w:t xml:space="preserve"> </w:t>
      </w:r>
      <w:r w:rsidRPr="009E06ED">
        <w:rPr>
          <w:rFonts w:ascii="Arial" w:hAnsi="Arial" w:cs="Arial"/>
          <w:sz w:val="24"/>
          <w:szCs w:val="24"/>
        </w:rPr>
        <w:t>Hawaiians;</w:t>
      </w:r>
      <w:r w:rsidRPr="009E06ED">
        <w:rPr>
          <w:rFonts w:ascii="Arial" w:hAnsi="Arial" w:cs="Arial"/>
          <w:spacing w:val="-3"/>
          <w:sz w:val="24"/>
          <w:szCs w:val="24"/>
        </w:rPr>
        <w:t xml:space="preserve"> </w:t>
      </w:r>
      <w:r w:rsidRPr="009E06ED">
        <w:rPr>
          <w:rFonts w:ascii="Arial" w:hAnsi="Arial" w:cs="Arial"/>
          <w:sz w:val="24"/>
          <w:szCs w:val="24"/>
        </w:rPr>
        <w:t>and</w:t>
      </w:r>
    </w:p>
    <w:p w:rsidR="009E06ED" w:rsidRPr="009E06ED" w:rsidRDefault="009E06ED" w:rsidP="009E06ED">
      <w:pPr>
        <w:pStyle w:val="BodyText"/>
        <w:kinsoku w:val="0"/>
        <w:overflowPunct w:val="0"/>
        <w:spacing w:before="12"/>
        <w:ind w:left="0"/>
        <w:rPr>
          <w:rFonts w:ascii="Arial" w:hAnsi="Arial" w:cs="Arial"/>
          <w:sz w:val="24"/>
          <w:szCs w:val="24"/>
        </w:rPr>
      </w:pPr>
    </w:p>
    <w:p w:rsidR="009E06ED" w:rsidRPr="009E06ED" w:rsidRDefault="009E06ED" w:rsidP="009E06ED">
      <w:pPr>
        <w:pStyle w:val="BodyText"/>
        <w:tabs>
          <w:tab w:val="left" w:pos="1676"/>
        </w:tabs>
        <w:kinsoku w:val="0"/>
        <w:overflowPunct w:val="0"/>
        <w:ind w:left="1676" w:right="301" w:hanging="1450"/>
        <w:rPr>
          <w:rFonts w:ascii="Arial" w:hAnsi="Arial" w:cs="Arial"/>
          <w:sz w:val="24"/>
          <w:szCs w:val="24"/>
        </w:rPr>
      </w:pPr>
      <w:r w:rsidRPr="009E06ED">
        <w:rPr>
          <w:rFonts w:ascii="Arial" w:hAnsi="Arial" w:cs="Arial"/>
          <w:spacing w:val="-1"/>
          <w:w w:val="95"/>
          <w:sz w:val="24"/>
          <w:szCs w:val="24"/>
        </w:rPr>
        <w:t>WHEREAS,</w:t>
      </w:r>
      <w:r w:rsidRPr="009E06ED">
        <w:rPr>
          <w:rFonts w:ascii="Arial" w:hAnsi="Arial" w:cs="Arial"/>
          <w:spacing w:val="-1"/>
          <w:w w:val="95"/>
          <w:sz w:val="24"/>
          <w:szCs w:val="24"/>
        </w:rPr>
        <w:tab/>
      </w:r>
      <w:r w:rsidRPr="009E06ED">
        <w:rPr>
          <w:rFonts w:ascii="Arial" w:hAnsi="Arial" w:cs="Arial"/>
          <w:sz w:val="24"/>
          <w:szCs w:val="24"/>
        </w:rPr>
        <w:t>The</w:t>
      </w:r>
      <w:r w:rsidRPr="009E06ED">
        <w:rPr>
          <w:rFonts w:ascii="Arial" w:hAnsi="Arial" w:cs="Arial"/>
          <w:spacing w:val="-2"/>
          <w:sz w:val="24"/>
          <w:szCs w:val="24"/>
        </w:rPr>
        <w:t xml:space="preserve"> </w:t>
      </w:r>
      <w:r w:rsidRPr="009E06ED">
        <w:rPr>
          <w:rFonts w:ascii="Arial" w:hAnsi="Arial" w:cs="Arial"/>
          <w:sz w:val="24"/>
          <w:szCs w:val="24"/>
        </w:rPr>
        <w:t xml:space="preserve">stated </w:t>
      </w:r>
      <w:r w:rsidRPr="009E06ED">
        <w:rPr>
          <w:rFonts w:ascii="Arial" w:hAnsi="Arial" w:cs="Arial"/>
          <w:spacing w:val="-1"/>
          <w:sz w:val="24"/>
          <w:szCs w:val="24"/>
        </w:rPr>
        <w:t>purpose of</w:t>
      </w:r>
      <w:r w:rsidRPr="009E06ED">
        <w:rPr>
          <w:rFonts w:ascii="Arial" w:hAnsi="Arial" w:cs="Arial"/>
          <w:sz w:val="24"/>
          <w:szCs w:val="24"/>
        </w:rPr>
        <w:t xml:space="preserve"> the</w:t>
      </w:r>
      <w:r w:rsidRPr="009E06ED">
        <w:rPr>
          <w:rFonts w:ascii="Arial" w:hAnsi="Arial" w:cs="Arial"/>
          <w:spacing w:val="-1"/>
          <w:sz w:val="24"/>
          <w:szCs w:val="24"/>
        </w:rPr>
        <w:t xml:space="preserve"> </w:t>
      </w:r>
      <w:r w:rsidRPr="009E06ED">
        <w:rPr>
          <w:rFonts w:ascii="Arial" w:hAnsi="Arial" w:cs="Arial"/>
          <w:sz w:val="24"/>
          <w:szCs w:val="24"/>
        </w:rPr>
        <w:t>organization</w:t>
      </w:r>
      <w:r w:rsidRPr="009E06ED">
        <w:rPr>
          <w:rFonts w:ascii="Arial" w:hAnsi="Arial" w:cs="Arial"/>
          <w:spacing w:val="-1"/>
          <w:sz w:val="24"/>
          <w:szCs w:val="24"/>
        </w:rPr>
        <w:t xml:space="preserve"> </w:t>
      </w:r>
      <w:r w:rsidRPr="009E06ED">
        <w:rPr>
          <w:rFonts w:ascii="Arial" w:hAnsi="Arial" w:cs="Arial"/>
          <w:spacing w:val="3"/>
          <w:sz w:val="24"/>
          <w:szCs w:val="24"/>
        </w:rPr>
        <w:t>is</w:t>
      </w:r>
      <w:r w:rsidRPr="009E06ED">
        <w:rPr>
          <w:rFonts w:ascii="Arial" w:hAnsi="Arial" w:cs="Arial"/>
          <w:spacing w:val="-2"/>
          <w:sz w:val="24"/>
          <w:szCs w:val="24"/>
        </w:rPr>
        <w:t xml:space="preserve"> </w:t>
      </w:r>
      <w:r w:rsidRPr="009E06ED">
        <w:rPr>
          <w:rFonts w:ascii="Arial" w:hAnsi="Arial" w:cs="Arial"/>
          <w:sz w:val="24"/>
          <w:szCs w:val="24"/>
        </w:rPr>
        <w:t>to</w:t>
      </w:r>
      <w:r w:rsidRPr="009E06ED">
        <w:rPr>
          <w:rFonts w:ascii="Arial" w:hAnsi="Arial" w:cs="Arial"/>
          <w:spacing w:val="-1"/>
          <w:sz w:val="24"/>
          <w:szCs w:val="24"/>
        </w:rPr>
        <w:t xml:space="preserve"> </w:t>
      </w:r>
      <w:r w:rsidRPr="009E06ED">
        <w:rPr>
          <w:rFonts w:ascii="Arial" w:hAnsi="Arial" w:cs="Arial"/>
          <w:sz w:val="24"/>
          <w:szCs w:val="24"/>
        </w:rPr>
        <w:t>promote</w:t>
      </w:r>
      <w:r w:rsidRPr="009E06ED">
        <w:rPr>
          <w:rFonts w:ascii="Arial" w:hAnsi="Arial" w:cs="Arial"/>
          <w:spacing w:val="-1"/>
          <w:sz w:val="24"/>
          <w:szCs w:val="24"/>
        </w:rPr>
        <w:t xml:space="preserve"> advocacy</w:t>
      </w:r>
      <w:r w:rsidRPr="009E06ED">
        <w:rPr>
          <w:rFonts w:ascii="Arial" w:hAnsi="Arial" w:cs="Arial"/>
          <w:spacing w:val="-2"/>
          <w:sz w:val="24"/>
          <w:szCs w:val="24"/>
        </w:rPr>
        <w:t xml:space="preserve"> </w:t>
      </w:r>
      <w:r w:rsidRPr="009E06ED">
        <w:rPr>
          <w:rFonts w:ascii="Arial" w:hAnsi="Arial" w:cs="Arial"/>
          <w:sz w:val="24"/>
          <w:szCs w:val="24"/>
        </w:rPr>
        <w:t>for</w:t>
      </w:r>
      <w:r w:rsidRPr="009E06ED">
        <w:rPr>
          <w:rFonts w:ascii="Arial" w:hAnsi="Arial" w:cs="Arial"/>
          <w:spacing w:val="-1"/>
          <w:sz w:val="24"/>
          <w:szCs w:val="24"/>
        </w:rPr>
        <w:t xml:space="preserve"> policy</w:t>
      </w:r>
      <w:r w:rsidRPr="009E06ED">
        <w:rPr>
          <w:rFonts w:ascii="Arial" w:hAnsi="Arial" w:cs="Arial"/>
          <w:spacing w:val="-3"/>
          <w:sz w:val="24"/>
          <w:szCs w:val="24"/>
        </w:rPr>
        <w:t xml:space="preserve"> </w:t>
      </w:r>
      <w:r w:rsidRPr="009E06ED">
        <w:rPr>
          <w:rFonts w:ascii="Arial" w:hAnsi="Arial" w:cs="Arial"/>
          <w:sz w:val="24"/>
          <w:szCs w:val="24"/>
        </w:rPr>
        <w:t>and</w:t>
      </w:r>
      <w:r w:rsidRPr="009E06ED">
        <w:rPr>
          <w:rFonts w:ascii="Arial" w:hAnsi="Arial" w:cs="Arial"/>
          <w:spacing w:val="39"/>
          <w:sz w:val="24"/>
          <w:szCs w:val="24"/>
        </w:rPr>
        <w:t xml:space="preserve"> </w:t>
      </w:r>
      <w:r w:rsidRPr="009E06ED">
        <w:rPr>
          <w:rFonts w:ascii="Arial" w:hAnsi="Arial" w:cs="Arial"/>
          <w:sz w:val="24"/>
          <w:szCs w:val="24"/>
        </w:rPr>
        <w:t xml:space="preserve">legislative </w:t>
      </w:r>
      <w:r w:rsidRPr="009E06ED">
        <w:rPr>
          <w:rFonts w:ascii="Arial" w:hAnsi="Arial" w:cs="Arial"/>
          <w:spacing w:val="3"/>
          <w:sz w:val="24"/>
          <w:szCs w:val="24"/>
        </w:rPr>
        <w:t xml:space="preserve"> </w:t>
      </w:r>
      <w:r w:rsidRPr="009E06ED">
        <w:rPr>
          <w:rFonts w:ascii="Arial" w:hAnsi="Arial" w:cs="Arial"/>
          <w:sz w:val="24"/>
          <w:szCs w:val="24"/>
        </w:rPr>
        <w:t xml:space="preserve">changes </w:t>
      </w:r>
      <w:r w:rsidRPr="009E06ED">
        <w:rPr>
          <w:rFonts w:ascii="Arial" w:hAnsi="Arial" w:cs="Arial"/>
          <w:spacing w:val="3"/>
          <w:sz w:val="24"/>
          <w:szCs w:val="24"/>
        </w:rPr>
        <w:t xml:space="preserve"> </w:t>
      </w:r>
      <w:r w:rsidRPr="009E06ED">
        <w:rPr>
          <w:rFonts w:ascii="Arial" w:hAnsi="Arial" w:cs="Arial"/>
          <w:sz w:val="24"/>
          <w:szCs w:val="24"/>
        </w:rPr>
        <w:t xml:space="preserve">that </w:t>
      </w:r>
      <w:r w:rsidRPr="009E06ED">
        <w:rPr>
          <w:rFonts w:ascii="Arial" w:hAnsi="Arial" w:cs="Arial"/>
          <w:spacing w:val="4"/>
          <w:sz w:val="24"/>
          <w:szCs w:val="24"/>
        </w:rPr>
        <w:t xml:space="preserve"> </w:t>
      </w:r>
      <w:r w:rsidRPr="009E06ED">
        <w:rPr>
          <w:rFonts w:ascii="Arial" w:hAnsi="Arial" w:cs="Arial"/>
          <w:spacing w:val="-1"/>
          <w:sz w:val="24"/>
          <w:szCs w:val="24"/>
        </w:rPr>
        <w:t>will</w:t>
      </w:r>
      <w:r w:rsidRPr="009E06ED">
        <w:rPr>
          <w:rFonts w:ascii="Arial" w:hAnsi="Arial" w:cs="Arial"/>
          <w:sz w:val="24"/>
          <w:szCs w:val="24"/>
        </w:rPr>
        <w:t xml:space="preserve"> </w:t>
      </w:r>
      <w:r w:rsidRPr="009E06ED">
        <w:rPr>
          <w:rFonts w:ascii="Arial" w:hAnsi="Arial" w:cs="Arial"/>
          <w:spacing w:val="3"/>
          <w:sz w:val="24"/>
          <w:szCs w:val="24"/>
        </w:rPr>
        <w:t xml:space="preserve"> </w:t>
      </w:r>
      <w:r w:rsidRPr="009E06ED">
        <w:rPr>
          <w:rFonts w:ascii="Arial" w:hAnsi="Arial" w:cs="Arial"/>
          <w:sz w:val="24"/>
          <w:szCs w:val="24"/>
        </w:rPr>
        <w:t xml:space="preserve">favorably </w:t>
      </w:r>
      <w:r w:rsidRPr="009E06ED">
        <w:rPr>
          <w:rFonts w:ascii="Arial" w:hAnsi="Arial" w:cs="Arial"/>
          <w:spacing w:val="2"/>
          <w:sz w:val="24"/>
          <w:szCs w:val="24"/>
        </w:rPr>
        <w:t xml:space="preserve"> </w:t>
      </w:r>
      <w:r w:rsidRPr="009E06ED">
        <w:rPr>
          <w:rFonts w:ascii="Arial" w:hAnsi="Arial" w:cs="Arial"/>
          <w:sz w:val="24"/>
          <w:szCs w:val="24"/>
        </w:rPr>
        <w:t xml:space="preserve">impact </w:t>
      </w:r>
      <w:r w:rsidRPr="009E06ED">
        <w:rPr>
          <w:rFonts w:ascii="Arial" w:hAnsi="Arial" w:cs="Arial"/>
          <w:spacing w:val="4"/>
          <w:sz w:val="24"/>
          <w:szCs w:val="24"/>
        </w:rPr>
        <w:t xml:space="preserve"> </w:t>
      </w:r>
      <w:r w:rsidRPr="009E06ED">
        <w:rPr>
          <w:rFonts w:ascii="Arial" w:hAnsi="Arial" w:cs="Arial"/>
          <w:sz w:val="24"/>
          <w:szCs w:val="24"/>
        </w:rPr>
        <w:t xml:space="preserve">our </w:t>
      </w:r>
      <w:r w:rsidRPr="009E06ED">
        <w:rPr>
          <w:rFonts w:ascii="Arial" w:hAnsi="Arial" w:cs="Arial"/>
          <w:spacing w:val="3"/>
          <w:sz w:val="24"/>
          <w:szCs w:val="24"/>
        </w:rPr>
        <w:t xml:space="preserve"> </w:t>
      </w:r>
      <w:r w:rsidRPr="009E06ED">
        <w:rPr>
          <w:rFonts w:ascii="Arial" w:hAnsi="Arial" w:cs="Arial"/>
          <w:sz w:val="24"/>
          <w:szCs w:val="24"/>
        </w:rPr>
        <w:t xml:space="preserve">primary </w:t>
      </w:r>
      <w:r w:rsidRPr="009E06ED">
        <w:rPr>
          <w:rFonts w:ascii="Arial" w:hAnsi="Arial" w:cs="Arial"/>
          <w:spacing w:val="3"/>
          <w:sz w:val="24"/>
          <w:szCs w:val="24"/>
        </w:rPr>
        <w:t xml:space="preserve"> </w:t>
      </w:r>
      <w:r w:rsidRPr="009E06ED">
        <w:rPr>
          <w:rFonts w:ascii="Arial" w:hAnsi="Arial" w:cs="Arial"/>
          <w:sz w:val="24"/>
          <w:szCs w:val="24"/>
        </w:rPr>
        <w:t xml:space="preserve">goals </w:t>
      </w:r>
      <w:r w:rsidRPr="009E06ED">
        <w:rPr>
          <w:rFonts w:ascii="Arial" w:hAnsi="Arial" w:cs="Arial"/>
          <w:spacing w:val="3"/>
          <w:sz w:val="24"/>
          <w:szCs w:val="24"/>
        </w:rPr>
        <w:t xml:space="preserve"> </w:t>
      </w:r>
      <w:r w:rsidRPr="009E06ED">
        <w:rPr>
          <w:rFonts w:ascii="Arial" w:hAnsi="Arial" w:cs="Arial"/>
          <w:spacing w:val="-1"/>
          <w:sz w:val="24"/>
          <w:szCs w:val="24"/>
        </w:rPr>
        <w:t>of</w:t>
      </w:r>
      <w:r w:rsidRPr="009E06ED">
        <w:rPr>
          <w:rFonts w:ascii="Arial" w:hAnsi="Arial" w:cs="Arial"/>
          <w:sz w:val="24"/>
          <w:szCs w:val="24"/>
        </w:rPr>
        <w:t xml:space="preserve"> </w:t>
      </w:r>
      <w:r w:rsidRPr="009E06ED">
        <w:rPr>
          <w:rFonts w:ascii="Arial" w:hAnsi="Arial" w:cs="Arial"/>
          <w:spacing w:val="2"/>
          <w:sz w:val="24"/>
          <w:szCs w:val="24"/>
        </w:rPr>
        <w:t xml:space="preserve"> </w:t>
      </w:r>
      <w:r w:rsidRPr="009E06ED">
        <w:rPr>
          <w:rFonts w:ascii="Arial" w:hAnsi="Arial" w:cs="Arial"/>
          <w:sz w:val="24"/>
          <w:szCs w:val="24"/>
        </w:rPr>
        <w:t>providing</w:t>
      </w:r>
      <w:r w:rsidRPr="009E06ED">
        <w:rPr>
          <w:rFonts w:ascii="Arial" w:hAnsi="Arial" w:cs="Arial"/>
          <w:spacing w:val="25"/>
          <w:w w:val="99"/>
          <w:sz w:val="24"/>
          <w:szCs w:val="24"/>
        </w:rPr>
        <w:t xml:space="preserve"> </w:t>
      </w:r>
      <w:r w:rsidRPr="009E06ED">
        <w:rPr>
          <w:rFonts w:ascii="Arial" w:hAnsi="Arial" w:cs="Arial"/>
          <w:spacing w:val="-1"/>
          <w:sz w:val="24"/>
          <w:szCs w:val="24"/>
        </w:rPr>
        <w:t>culturally</w:t>
      </w:r>
      <w:r w:rsidRPr="009E06ED">
        <w:rPr>
          <w:rFonts w:ascii="Arial" w:hAnsi="Arial" w:cs="Arial"/>
          <w:spacing w:val="15"/>
          <w:sz w:val="24"/>
          <w:szCs w:val="24"/>
        </w:rPr>
        <w:t xml:space="preserve"> </w:t>
      </w:r>
      <w:r w:rsidRPr="009E06ED">
        <w:rPr>
          <w:rFonts w:ascii="Arial" w:hAnsi="Arial" w:cs="Arial"/>
          <w:sz w:val="24"/>
          <w:szCs w:val="24"/>
        </w:rPr>
        <w:t>relevant</w:t>
      </w:r>
      <w:r w:rsidRPr="009E06ED">
        <w:rPr>
          <w:rFonts w:ascii="Arial" w:hAnsi="Arial" w:cs="Arial"/>
          <w:spacing w:val="14"/>
          <w:sz w:val="24"/>
          <w:szCs w:val="24"/>
        </w:rPr>
        <w:t xml:space="preserve"> </w:t>
      </w:r>
      <w:r w:rsidRPr="009E06ED">
        <w:rPr>
          <w:rFonts w:ascii="Arial" w:hAnsi="Arial" w:cs="Arial"/>
          <w:sz w:val="24"/>
          <w:szCs w:val="24"/>
        </w:rPr>
        <w:t>and</w:t>
      </w:r>
      <w:r w:rsidRPr="009E06ED">
        <w:rPr>
          <w:rFonts w:ascii="Arial" w:hAnsi="Arial" w:cs="Arial"/>
          <w:spacing w:val="14"/>
          <w:sz w:val="24"/>
          <w:szCs w:val="24"/>
        </w:rPr>
        <w:t xml:space="preserve"> </w:t>
      </w:r>
      <w:r w:rsidRPr="009E06ED">
        <w:rPr>
          <w:rFonts w:ascii="Arial" w:hAnsi="Arial" w:cs="Arial"/>
          <w:sz w:val="24"/>
          <w:szCs w:val="24"/>
        </w:rPr>
        <w:t>quality</w:t>
      </w:r>
      <w:r w:rsidRPr="009E06ED">
        <w:rPr>
          <w:rFonts w:ascii="Arial" w:hAnsi="Arial" w:cs="Arial"/>
          <w:spacing w:val="14"/>
          <w:sz w:val="24"/>
          <w:szCs w:val="24"/>
        </w:rPr>
        <w:t xml:space="preserve"> </w:t>
      </w:r>
      <w:r w:rsidRPr="009E06ED">
        <w:rPr>
          <w:rFonts w:ascii="Arial" w:hAnsi="Arial" w:cs="Arial"/>
          <w:sz w:val="24"/>
          <w:szCs w:val="24"/>
        </w:rPr>
        <w:t>affordable</w:t>
      </w:r>
      <w:r w:rsidRPr="009E06ED">
        <w:rPr>
          <w:rFonts w:ascii="Arial" w:hAnsi="Arial" w:cs="Arial"/>
          <w:spacing w:val="13"/>
          <w:sz w:val="24"/>
          <w:szCs w:val="24"/>
        </w:rPr>
        <w:t xml:space="preserve"> </w:t>
      </w:r>
      <w:r w:rsidRPr="009E06ED">
        <w:rPr>
          <w:rFonts w:ascii="Arial" w:hAnsi="Arial" w:cs="Arial"/>
          <w:spacing w:val="-1"/>
          <w:sz w:val="24"/>
          <w:szCs w:val="24"/>
        </w:rPr>
        <w:t>housing</w:t>
      </w:r>
      <w:r w:rsidRPr="009E06ED">
        <w:rPr>
          <w:rFonts w:ascii="Arial" w:hAnsi="Arial" w:cs="Arial"/>
          <w:spacing w:val="12"/>
          <w:sz w:val="24"/>
          <w:szCs w:val="24"/>
        </w:rPr>
        <w:t xml:space="preserve"> </w:t>
      </w:r>
      <w:r w:rsidRPr="009E06ED">
        <w:rPr>
          <w:rFonts w:ascii="Arial" w:hAnsi="Arial" w:cs="Arial"/>
          <w:spacing w:val="-1"/>
          <w:sz w:val="24"/>
          <w:szCs w:val="24"/>
        </w:rPr>
        <w:t>for</w:t>
      </w:r>
      <w:r w:rsidRPr="009E06ED">
        <w:rPr>
          <w:rFonts w:ascii="Arial" w:hAnsi="Arial" w:cs="Arial"/>
          <w:spacing w:val="17"/>
          <w:sz w:val="24"/>
          <w:szCs w:val="24"/>
        </w:rPr>
        <w:t xml:space="preserve"> </w:t>
      </w:r>
      <w:r w:rsidRPr="009E06ED">
        <w:rPr>
          <w:rFonts w:ascii="Arial" w:hAnsi="Arial" w:cs="Arial"/>
          <w:sz w:val="24"/>
          <w:szCs w:val="24"/>
        </w:rPr>
        <w:t>Native</w:t>
      </w:r>
      <w:r w:rsidRPr="009E06ED">
        <w:rPr>
          <w:rFonts w:ascii="Arial" w:hAnsi="Arial" w:cs="Arial"/>
          <w:spacing w:val="13"/>
          <w:sz w:val="24"/>
          <w:szCs w:val="24"/>
        </w:rPr>
        <w:t xml:space="preserve"> </w:t>
      </w:r>
      <w:r w:rsidRPr="009E06ED">
        <w:rPr>
          <w:rFonts w:ascii="Arial" w:hAnsi="Arial" w:cs="Arial"/>
          <w:sz w:val="24"/>
          <w:szCs w:val="24"/>
        </w:rPr>
        <w:t>people</w:t>
      </w:r>
      <w:r w:rsidRPr="009E06ED">
        <w:rPr>
          <w:rFonts w:ascii="Arial" w:hAnsi="Arial" w:cs="Arial"/>
          <w:spacing w:val="13"/>
          <w:sz w:val="24"/>
          <w:szCs w:val="24"/>
        </w:rPr>
        <w:t xml:space="preserve"> </w:t>
      </w:r>
      <w:r w:rsidRPr="009E06ED">
        <w:rPr>
          <w:rFonts w:ascii="Arial" w:hAnsi="Arial" w:cs="Arial"/>
          <w:sz w:val="24"/>
          <w:szCs w:val="24"/>
        </w:rPr>
        <w:t>in</w:t>
      </w:r>
      <w:r w:rsidRPr="009E06ED">
        <w:rPr>
          <w:rFonts w:ascii="Arial" w:hAnsi="Arial" w:cs="Arial"/>
          <w:spacing w:val="16"/>
          <w:sz w:val="24"/>
          <w:szCs w:val="24"/>
        </w:rPr>
        <w:t xml:space="preserve"> </w:t>
      </w:r>
      <w:r w:rsidRPr="009E06ED">
        <w:rPr>
          <w:rFonts w:ascii="Arial" w:hAnsi="Arial" w:cs="Arial"/>
          <w:sz w:val="24"/>
          <w:szCs w:val="24"/>
        </w:rPr>
        <w:t>a</w:t>
      </w:r>
      <w:r w:rsidRPr="009E06ED">
        <w:rPr>
          <w:rFonts w:ascii="Arial" w:hAnsi="Arial" w:cs="Arial"/>
          <w:spacing w:val="13"/>
          <w:sz w:val="24"/>
          <w:szCs w:val="24"/>
        </w:rPr>
        <w:t xml:space="preserve"> </w:t>
      </w:r>
      <w:r w:rsidRPr="009E06ED">
        <w:rPr>
          <w:rFonts w:ascii="Arial" w:hAnsi="Arial" w:cs="Arial"/>
          <w:sz w:val="24"/>
          <w:szCs w:val="24"/>
        </w:rPr>
        <w:t>manner</w:t>
      </w:r>
      <w:r w:rsidRPr="009E06ED">
        <w:rPr>
          <w:rFonts w:ascii="Arial" w:hAnsi="Arial" w:cs="Arial"/>
          <w:spacing w:val="44"/>
          <w:w w:val="99"/>
          <w:sz w:val="24"/>
          <w:szCs w:val="24"/>
        </w:rPr>
        <w:t xml:space="preserve"> </w:t>
      </w:r>
      <w:r w:rsidRPr="009E06ED">
        <w:rPr>
          <w:rFonts w:ascii="Arial" w:hAnsi="Arial" w:cs="Arial"/>
          <w:spacing w:val="-1"/>
          <w:sz w:val="24"/>
          <w:szCs w:val="24"/>
        </w:rPr>
        <w:t>recognizing</w:t>
      </w:r>
      <w:r w:rsidRPr="009E06ED">
        <w:rPr>
          <w:rFonts w:ascii="Arial" w:hAnsi="Arial" w:cs="Arial"/>
          <w:spacing w:val="-3"/>
          <w:sz w:val="24"/>
          <w:szCs w:val="24"/>
        </w:rPr>
        <w:t xml:space="preserve"> </w:t>
      </w:r>
      <w:r w:rsidRPr="009E06ED">
        <w:rPr>
          <w:rFonts w:ascii="Arial" w:hAnsi="Arial" w:cs="Arial"/>
          <w:sz w:val="24"/>
          <w:szCs w:val="24"/>
        </w:rPr>
        <w:t>the</w:t>
      </w:r>
      <w:r w:rsidRPr="009E06ED">
        <w:rPr>
          <w:rFonts w:ascii="Arial" w:hAnsi="Arial" w:cs="Arial"/>
          <w:spacing w:val="-2"/>
          <w:sz w:val="24"/>
          <w:szCs w:val="24"/>
        </w:rPr>
        <w:t xml:space="preserve"> </w:t>
      </w:r>
      <w:r w:rsidRPr="009E06ED">
        <w:rPr>
          <w:rFonts w:ascii="Arial" w:hAnsi="Arial" w:cs="Arial"/>
          <w:sz w:val="24"/>
          <w:szCs w:val="24"/>
        </w:rPr>
        <w:t>unique</w:t>
      </w:r>
      <w:r w:rsidRPr="009E06ED">
        <w:rPr>
          <w:rFonts w:ascii="Arial" w:hAnsi="Arial" w:cs="Arial"/>
          <w:spacing w:val="2"/>
          <w:sz w:val="24"/>
          <w:szCs w:val="24"/>
        </w:rPr>
        <w:t xml:space="preserve"> </w:t>
      </w:r>
      <w:r w:rsidRPr="009E06ED">
        <w:rPr>
          <w:rFonts w:ascii="Arial" w:hAnsi="Arial" w:cs="Arial"/>
          <w:sz w:val="24"/>
          <w:szCs w:val="24"/>
        </w:rPr>
        <w:t xml:space="preserve">government-to-government relationship </w:t>
      </w:r>
      <w:r w:rsidRPr="009E06ED">
        <w:rPr>
          <w:rFonts w:ascii="Arial" w:hAnsi="Arial" w:cs="Arial"/>
          <w:spacing w:val="-1"/>
          <w:sz w:val="24"/>
          <w:szCs w:val="24"/>
        </w:rPr>
        <w:t xml:space="preserve">of </w:t>
      </w:r>
      <w:r w:rsidRPr="009E06ED">
        <w:rPr>
          <w:rFonts w:ascii="Arial" w:hAnsi="Arial" w:cs="Arial"/>
          <w:sz w:val="24"/>
          <w:szCs w:val="24"/>
        </w:rPr>
        <w:t>tribes</w:t>
      </w:r>
      <w:r w:rsidRPr="009E06ED">
        <w:rPr>
          <w:rFonts w:ascii="Arial" w:hAnsi="Arial" w:cs="Arial"/>
          <w:spacing w:val="-2"/>
          <w:sz w:val="24"/>
          <w:szCs w:val="24"/>
        </w:rPr>
        <w:t xml:space="preserve"> </w:t>
      </w:r>
      <w:r w:rsidRPr="009E06ED">
        <w:rPr>
          <w:rFonts w:ascii="Arial" w:hAnsi="Arial" w:cs="Arial"/>
          <w:sz w:val="24"/>
          <w:szCs w:val="24"/>
        </w:rPr>
        <w:t>and</w:t>
      </w:r>
      <w:r w:rsidRPr="009E06ED">
        <w:rPr>
          <w:rFonts w:ascii="Arial" w:hAnsi="Arial" w:cs="Arial"/>
          <w:spacing w:val="-1"/>
          <w:sz w:val="24"/>
          <w:szCs w:val="24"/>
        </w:rPr>
        <w:t xml:space="preserve"> </w:t>
      </w:r>
      <w:r w:rsidRPr="009E06ED">
        <w:rPr>
          <w:rFonts w:ascii="Arial" w:hAnsi="Arial" w:cs="Arial"/>
          <w:sz w:val="24"/>
          <w:szCs w:val="24"/>
        </w:rPr>
        <w:t>the</w:t>
      </w:r>
      <w:r w:rsidRPr="009E06ED">
        <w:rPr>
          <w:rFonts w:ascii="Arial" w:hAnsi="Arial" w:cs="Arial"/>
          <w:spacing w:val="42"/>
          <w:w w:val="99"/>
          <w:sz w:val="24"/>
          <w:szCs w:val="24"/>
        </w:rPr>
        <w:t xml:space="preserve"> </w:t>
      </w:r>
      <w:r w:rsidRPr="009E06ED">
        <w:rPr>
          <w:rFonts w:ascii="Arial" w:hAnsi="Arial" w:cs="Arial"/>
          <w:sz w:val="24"/>
          <w:szCs w:val="24"/>
        </w:rPr>
        <w:t>federal</w:t>
      </w:r>
      <w:r w:rsidRPr="009E06ED">
        <w:rPr>
          <w:rFonts w:ascii="Arial" w:hAnsi="Arial" w:cs="Arial"/>
          <w:spacing w:val="-8"/>
          <w:sz w:val="24"/>
          <w:szCs w:val="24"/>
        </w:rPr>
        <w:t xml:space="preserve"> </w:t>
      </w:r>
      <w:r w:rsidRPr="009E06ED">
        <w:rPr>
          <w:rFonts w:ascii="Arial" w:hAnsi="Arial" w:cs="Arial"/>
          <w:sz w:val="24"/>
          <w:szCs w:val="24"/>
        </w:rPr>
        <w:t>government;</w:t>
      </w:r>
      <w:r w:rsidRPr="009E06ED">
        <w:rPr>
          <w:rFonts w:ascii="Arial" w:hAnsi="Arial" w:cs="Arial"/>
          <w:spacing w:val="-8"/>
          <w:sz w:val="24"/>
          <w:szCs w:val="24"/>
        </w:rPr>
        <w:t xml:space="preserve"> </w:t>
      </w:r>
      <w:r w:rsidRPr="009E06ED">
        <w:rPr>
          <w:rFonts w:ascii="Arial" w:hAnsi="Arial" w:cs="Arial"/>
          <w:sz w:val="24"/>
          <w:szCs w:val="24"/>
        </w:rPr>
        <w:t>and</w:t>
      </w:r>
    </w:p>
    <w:p w:rsidR="009E06ED" w:rsidRPr="009E06ED" w:rsidRDefault="009E06ED" w:rsidP="009E06ED">
      <w:pPr>
        <w:pStyle w:val="BodyText"/>
        <w:kinsoku w:val="0"/>
        <w:overflowPunct w:val="0"/>
        <w:spacing w:before="12"/>
        <w:ind w:left="0"/>
        <w:rPr>
          <w:rFonts w:ascii="Arial" w:hAnsi="Arial" w:cs="Arial"/>
          <w:b/>
          <w:bCs/>
          <w:sz w:val="24"/>
          <w:szCs w:val="24"/>
        </w:rPr>
      </w:pPr>
    </w:p>
    <w:p w:rsidR="009E06ED" w:rsidRPr="009E06ED" w:rsidRDefault="009E06ED" w:rsidP="009E06ED">
      <w:pPr>
        <w:ind w:left="1684" w:right="302" w:hanging="1454"/>
        <w:rPr>
          <w:rFonts w:ascii="Arial" w:hAnsi="Arial" w:cs="Arial"/>
        </w:rPr>
      </w:pPr>
      <w:r w:rsidRPr="009E06ED">
        <w:rPr>
          <w:rFonts w:ascii="Arial" w:hAnsi="Arial" w:cs="Arial"/>
          <w:bCs/>
        </w:rPr>
        <w:t>WHEREAS</w:t>
      </w:r>
      <w:r w:rsidRPr="009E06ED">
        <w:rPr>
          <w:rFonts w:ascii="Arial" w:hAnsi="Arial" w:cs="Arial"/>
        </w:rPr>
        <w:t xml:space="preserve"> </w:t>
      </w:r>
      <w:r w:rsidRPr="009E06ED">
        <w:rPr>
          <w:rFonts w:ascii="Arial" w:hAnsi="Arial" w:cs="Arial"/>
        </w:rPr>
        <w:tab/>
        <w:t>The Northwest Indian Housing Association (NWIHA) represents thirty-eight Indian Housing Authorities, Tribally Designated Housing Entities, and Tribal Housing Programs and Departments in Idaho, Oregon and Washington, and Annette Island, Alaska; and</w:t>
      </w:r>
    </w:p>
    <w:p w:rsidR="009E06ED" w:rsidRPr="009E06ED" w:rsidRDefault="009E06ED" w:rsidP="009E06ED">
      <w:pPr>
        <w:ind w:left="1684" w:right="302" w:hanging="1454"/>
        <w:rPr>
          <w:rFonts w:ascii="Arial" w:hAnsi="Arial" w:cs="Arial"/>
        </w:rPr>
      </w:pPr>
    </w:p>
    <w:p w:rsidR="009E06ED" w:rsidRPr="009E06ED" w:rsidRDefault="009E06ED" w:rsidP="009E06ED">
      <w:pPr>
        <w:ind w:left="1684" w:right="302" w:hanging="1454"/>
        <w:rPr>
          <w:rFonts w:ascii="Arial" w:hAnsi="Arial" w:cs="Arial"/>
        </w:rPr>
      </w:pPr>
      <w:r w:rsidRPr="009E06ED">
        <w:rPr>
          <w:rFonts w:ascii="Arial" w:hAnsi="Arial" w:cs="Arial"/>
        </w:rPr>
        <w:t>WHEREAS,</w:t>
      </w:r>
      <w:r w:rsidRPr="009E06ED">
        <w:rPr>
          <w:rFonts w:ascii="Arial" w:hAnsi="Arial" w:cs="Arial"/>
          <w:bCs/>
        </w:rPr>
        <w:t xml:space="preserve"> </w:t>
      </w:r>
      <w:r w:rsidRPr="009E06ED">
        <w:rPr>
          <w:rFonts w:ascii="Arial" w:hAnsi="Arial" w:cs="Arial"/>
          <w:bCs/>
        </w:rPr>
        <w:tab/>
        <w:t>The Mission of NWIHA is to promote safe, sanitary, decent and affordable housing for all Tribal</w:t>
      </w:r>
      <w:r w:rsidRPr="009E06ED">
        <w:rPr>
          <w:rFonts w:ascii="Arial" w:hAnsi="Arial" w:cs="Arial"/>
        </w:rPr>
        <w:t xml:space="preserve"> members in the Pacific Northwest, which it accomplishes by providing training and education opportunities; providing a forum for the discussion and resolution of issues; advocating for the collective benefit of all members; effectively linking members to information and financial resources; and working collaboratively with its industry partners; and</w:t>
      </w:r>
    </w:p>
    <w:p w:rsidR="009E06ED" w:rsidRPr="009E06ED" w:rsidRDefault="009E06ED" w:rsidP="009E06ED">
      <w:pPr>
        <w:ind w:left="1684" w:right="302" w:hanging="1454"/>
        <w:rPr>
          <w:rFonts w:ascii="Arial" w:hAnsi="Arial" w:cs="Arial"/>
        </w:rPr>
      </w:pPr>
    </w:p>
    <w:p w:rsidR="009E06ED" w:rsidRPr="009E06ED" w:rsidRDefault="009E06ED" w:rsidP="009E06ED">
      <w:pPr>
        <w:ind w:left="1684" w:right="302" w:hanging="1454"/>
        <w:rPr>
          <w:rFonts w:ascii="Arial" w:hAnsi="Arial" w:cs="Arial"/>
        </w:rPr>
      </w:pPr>
      <w:r w:rsidRPr="009E06ED">
        <w:rPr>
          <w:rFonts w:ascii="Arial" w:hAnsi="Arial" w:cs="Arial"/>
        </w:rPr>
        <w:t>WHEREAS,</w:t>
      </w:r>
      <w:r w:rsidRPr="009E06ED">
        <w:rPr>
          <w:rFonts w:ascii="Arial" w:hAnsi="Arial" w:cs="Arial"/>
          <w:b/>
        </w:rPr>
        <w:tab/>
      </w:r>
      <w:r w:rsidRPr="009E06ED">
        <w:rPr>
          <w:rFonts w:ascii="Arial" w:hAnsi="Arial" w:cs="Arial"/>
        </w:rPr>
        <w:t xml:space="preserve">Safe, healthy and affordable housing is the very foundation for sustainable, healthy communities and the underpinning for most, if not all, BIA and IHS programs; and should therefore be given equal </w:t>
      </w:r>
      <w:r w:rsidRPr="009E06ED">
        <w:rPr>
          <w:rFonts w:ascii="Arial" w:hAnsi="Arial" w:cs="Arial"/>
        </w:rPr>
        <w:lastRenderedPageBreak/>
        <w:t>consideration in federal budget deliberations; and</w:t>
      </w:r>
    </w:p>
    <w:p w:rsidR="009E06ED" w:rsidRPr="009E06ED" w:rsidRDefault="009E06ED" w:rsidP="009E06ED">
      <w:pPr>
        <w:ind w:left="1684" w:right="302" w:hanging="1454"/>
        <w:rPr>
          <w:rFonts w:ascii="Arial" w:hAnsi="Arial" w:cs="Arial"/>
        </w:rPr>
      </w:pPr>
      <w:r w:rsidRPr="009E06ED">
        <w:rPr>
          <w:rFonts w:ascii="Arial" w:hAnsi="Arial" w:cs="Arial"/>
        </w:rPr>
        <w:t xml:space="preserve"> </w:t>
      </w:r>
    </w:p>
    <w:p w:rsidR="009E06ED" w:rsidRPr="009E06ED" w:rsidRDefault="009E06ED" w:rsidP="009E06ED">
      <w:pPr>
        <w:ind w:left="1684" w:right="302" w:hanging="1454"/>
        <w:rPr>
          <w:rFonts w:ascii="Arial" w:hAnsi="Arial" w:cs="Arial"/>
        </w:rPr>
      </w:pPr>
      <w:r w:rsidRPr="009E06ED">
        <w:rPr>
          <w:rFonts w:ascii="Arial" w:hAnsi="Arial" w:cs="Arial"/>
        </w:rPr>
        <w:t>WHEREAS,</w:t>
      </w:r>
      <w:r w:rsidRPr="009E06ED">
        <w:rPr>
          <w:rFonts w:ascii="Arial" w:hAnsi="Arial" w:cs="Arial"/>
          <w:b/>
        </w:rPr>
        <w:t xml:space="preserve"> </w:t>
      </w:r>
      <w:r w:rsidRPr="009E06ED">
        <w:rPr>
          <w:rFonts w:ascii="Arial" w:hAnsi="Arial" w:cs="Arial"/>
          <w:b/>
        </w:rPr>
        <w:tab/>
      </w:r>
      <w:r w:rsidRPr="009E06ED">
        <w:rPr>
          <w:rFonts w:ascii="Arial" w:hAnsi="Arial" w:cs="Arial"/>
        </w:rPr>
        <w:t>To address the crisis in Indian housing and meet its trust responsibility Congress has in recent years provided “flat-lined” funding of $650 million or less for the Indian Housing Block Grant (IHBG) Program; and</w:t>
      </w:r>
    </w:p>
    <w:p w:rsidR="009E06ED" w:rsidRPr="009E06ED" w:rsidRDefault="009E06ED" w:rsidP="009E06ED">
      <w:pPr>
        <w:ind w:left="1684" w:right="302" w:hanging="1454"/>
        <w:rPr>
          <w:rFonts w:ascii="Arial" w:hAnsi="Arial" w:cs="Arial"/>
          <w:u w:val="single"/>
        </w:rPr>
      </w:pPr>
    </w:p>
    <w:p w:rsidR="009E06ED" w:rsidRPr="009E06ED" w:rsidRDefault="009E06ED" w:rsidP="009E06ED">
      <w:pPr>
        <w:ind w:left="1684" w:right="302" w:hanging="1454"/>
        <w:rPr>
          <w:rFonts w:ascii="Arial" w:hAnsi="Arial" w:cs="Arial"/>
        </w:rPr>
      </w:pPr>
      <w:r w:rsidRPr="009E06ED">
        <w:rPr>
          <w:rFonts w:ascii="Arial" w:hAnsi="Arial" w:cs="Arial"/>
        </w:rPr>
        <w:t>WHEREAS,</w:t>
      </w:r>
      <w:r w:rsidRPr="009E06ED">
        <w:rPr>
          <w:rFonts w:ascii="Arial" w:hAnsi="Arial" w:cs="Arial"/>
          <w:b/>
        </w:rPr>
        <w:tab/>
      </w:r>
      <w:r w:rsidRPr="009E06ED">
        <w:rPr>
          <w:rFonts w:ascii="Arial" w:hAnsi="Arial" w:cs="Arial"/>
        </w:rPr>
        <w:t>in 2016, both BIA and IHS received increases over FY 2015 appropriations (7.5% for BIA and 3.6% for IHS), while a $50 million increase in the IHBG as proposed in the President’s budget is merely 1.8% over funding levels of 18 years ago; and</w:t>
      </w:r>
    </w:p>
    <w:p w:rsidR="009E06ED" w:rsidRPr="009E06ED" w:rsidRDefault="009E06ED" w:rsidP="009E06ED">
      <w:pPr>
        <w:ind w:left="1684" w:right="302" w:hanging="1454"/>
        <w:rPr>
          <w:rFonts w:ascii="Arial" w:hAnsi="Arial" w:cs="Arial"/>
        </w:rPr>
      </w:pPr>
      <w:r w:rsidRPr="009E06ED">
        <w:rPr>
          <w:rFonts w:ascii="Arial" w:hAnsi="Arial" w:cs="Arial"/>
        </w:rPr>
        <w:t xml:space="preserve"> </w:t>
      </w:r>
    </w:p>
    <w:p w:rsidR="009E06ED" w:rsidRPr="009E06ED" w:rsidRDefault="009E06ED" w:rsidP="009E06ED">
      <w:pPr>
        <w:ind w:left="1684" w:right="302" w:hanging="1454"/>
        <w:rPr>
          <w:rFonts w:ascii="Arial" w:hAnsi="Arial" w:cs="Arial"/>
        </w:rPr>
      </w:pPr>
      <w:r w:rsidRPr="009E06ED">
        <w:rPr>
          <w:rFonts w:ascii="Arial" w:hAnsi="Arial" w:cs="Arial"/>
        </w:rPr>
        <w:t>WHEREAS,</w:t>
      </w:r>
      <w:r w:rsidRPr="009E06ED">
        <w:rPr>
          <w:rFonts w:ascii="Arial" w:hAnsi="Arial" w:cs="Arial"/>
          <w:b/>
        </w:rPr>
        <w:t xml:space="preserve"> </w:t>
      </w:r>
      <w:r w:rsidRPr="009E06ED">
        <w:rPr>
          <w:rFonts w:ascii="Arial" w:hAnsi="Arial" w:cs="Arial"/>
          <w:b/>
        </w:rPr>
        <w:tab/>
      </w:r>
      <w:r w:rsidRPr="009E06ED">
        <w:rPr>
          <w:rFonts w:ascii="Arial" w:hAnsi="Arial" w:cs="Arial"/>
        </w:rPr>
        <w:t>Adjusting a $650 million appropriation for the cumulative impact of inflation since 1998 (using the Social Security inflation rate) leaves recipients with the purchasing power approximately 50% of that amount ($325 - $335M); and</w:t>
      </w:r>
    </w:p>
    <w:p w:rsidR="009E06ED" w:rsidRPr="009E06ED" w:rsidRDefault="009E06ED" w:rsidP="009E06ED">
      <w:pPr>
        <w:ind w:left="1684" w:right="302" w:hanging="1454"/>
        <w:rPr>
          <w:rFonts w:ascii="Arial" w:hAnsi="Arial" w:cs="Arial"/>
        </w:rPr>
      </w:pPr>
    </w:p>
    <w:p w:rsidR="009E06ED" w:rsidRPr="009E06ED" w:rsidRDefault="009E06ED" w:rsidP="009E06ED">
      <w:pPr>
        <w:ind w:left="1684" w:right="302" w:hanging="1454"/>
        <w:rPr>
          <w:rFonts w:ascii="Arial" w:hAnsi="Arial" w:cs="Arial"/>
        </w:rPr>
      </w:pPr>
      <w:r w:rsidRPr="009E06ED">
        <w:rPr>
          <w:rFonts w:ascii="Arial" w:hAnsi="Arial" w:cs="Arial"/>
        </w:rPr>
        <w:t>WHEREAS,</w:t>
      </w:r>
      <w:r w:rsidRPr="009E06ED">
        <w:rPr>
          <w:rFonts w:ascii="Arial" w:hAnsi="Arial" w:cs="Arial"/>
          <w:b/>
        </w:rPr>
        <w:tab/>
      </w:r>
      <w:r w:rsidRPr="009E06ED">
        <w:rPr>
          <w:rFonts w:ascii="Arial" w:hAnsi="Arial" w:cs="Arial"/>
        </w:rPr>
        <w:t>An adjustment for inflation requires and appropriation of no less than $960 million, but recognizing federal budget constraints the IHGB should be funded at a minimum of $700 million for 2017 with $50 Million annual increases thereafter until inflationary losses are recouped; and</w:t>
      </w:r>
    </w:p>
    <w:p w:rsidR="009E06ED" w:rsidRPr="009E06ED" w:rsidRDefault="009E06ED" w:rsidP="009E06ED">
      <w:pPr>
        <w:ind w:left="1684" w:right="302" w:hanging="1454"/>
        <w:rPr>
          <w:rFonts w:ascii="Arial" w:hAnsi="Arial" w:cs="Arial"/>
        </w:rPr>
      </w:pPr>
    </w:p>
    <w:p w:rsidR="009E06ED" w:rsidRPr="009E06ED" w:rsidRDefault="009E06ED" w:rsidP="009E06ED">
      <w:pPr>
        <w:tabs>
          <w:tab w:val="left" w:pos="-1440"/>
        </w:tabs>
        <w:ind w:left="1684" w:right="302" w:hanging="1454"/>
        <w:rPr>
          <w:rFonts w:ascii="Arial" w:hAnsi="Arial" w:cs="Arial"/>
          <w:color w:val="000000"/>
        </w:rPr>
      </w:pPr>
      <w:r w:rsidRPr="009E06ED">
        <w:rPr>
          <w:rFonts w:ascii="Arial" w:hAnsi="Arial" w:cs="Arial"/>
          <w:bCs/>
          <w:color w:val="000000"/>
        </w:rPr>
        <w:t>WHEREAS,</w:t>
      </w:r>
      <w:r w:rsidRPr="009E06ED">
        <w:rPr>
          <w:rFonts w:ascii="Arial" w:hAnsi="Arial" w:cs="Arial"/>
          <w:color w:val="000000"/>
        </w:rPr>
        <w:t> </w:t>
      </w:r>
      <w:r w:rsidRPr="009E06ED">
        <w:rPr>
          <w:rFonts w:ascii="Arial" w:hAnsi="Arial" w:cs="Arial"/>
          <w:color w:val="000000"/>
        </w:rPr>
        <w:tab/>
        <w:t>The Indian Community Development Block Grant is the primary funding source for community and infrastructure development and should be funded at the $100 million level; and</w:t>
      </w:r>
    </w:p>
    <w:p w:rsidR="009E06ED" w:rsidRPr="009E06ED" w:rsidRDefault="009E06ED" w:rsidP="009E06ED">
      <w:pPr>
        <w:tabs>
          <w:tab w:val="left" w:pos="-1440"/>
        </w:tabs>
        <w:ind w:left="1684" w:right="302" w:hanging="1454"/>
        <w:rPr>
          <w:rFonts w:ascii="Arial" w:hAnsi="Arial" w:cs="Arial"/>
          <w:color w:val="000000"/>
        </w:rPr>
      </w:pPr>
      <w:r w:rsidRPr="009E06ED">
        <w:rPr>
          <w:rFonts w:ascii="Arial" w:hAnsi="Arial" w:cs="Arial"/>
          <w:color w:val="000000"/>
        </w:rPr>
        <w:t xml:space="preserve">  </w:t>
      </w:r>
    </w:p>
    <w:p w:rsidR="009E06ED" w:rsidRDefault="009E06ED" w:rsidP="009E06ED">
      <w:pPr>
        <w:shd w:val="clear" w:color="auto" w:fill="FFFFFF"/>
        <w:ind w:left="1684" w:right="302" w:hanging="1454"/>
        <w:rPr>
          <w:rFonts w:ascii="Arial" w:hAnsi="Arial" w:cs="Arial"/>
          <w:color w:val="000000"/>
        </w:rPr>
      </w:pPr>
      <w:r w:rsidRPr="009E06ED">
        <w:rPr>
          <w:rFonts w:ascii="Arial" w:hAnsi="Arial" w:cs="Arial"/>
          <w:bCs/>
          <w:color w:val="000000"/>
        </w:rPr>
        <w:t>WHEREAS,</w:t>
      </w:r>
      <w:r w:rsidRPr="009E06ED">
        <w:rPr>
          <w:rFonts w:ascii="Arial" w:hAnsi="Arial" w:cs="Arial"/>
          <w:color w:val="000000"/>
        </w:rPr>
        <w:t> </w:t>
      </w:r>
      <w:r w:rsidRPr="009E06ED">
        <w:rPr>
          <w:rFonts w:ascii="Arial" w:hAnsi="Arial" w:cs="Arial"/>
          <w:color w:val="000000"/>
        </w:rPr>
        <w:tab/>
        <w:t xml:space="preserve">Section 703 of NAHASDA expressly authorizes appropriations for “providing training and technical assistance to Indian housing authorities and tribally designated housing entities”; to ensure the continuation of high-quality T&amp;TA, Congress should appropriate funds for this purpose at no less than </w:t>
      </w:r>
      <w:r w:rsidRPr="009E06ED">
        <w:rPr>
          <w:rFonts w:ascii="Arial" w:hAnsi="Arial" w:cs="Arial"/>
          <w:strike/>
          <w:color w:val="000000"/>
        </w:rPr>
        <w:t>at</w:t>
      </w:r>
      <w:r w:rsidRPr="009E06ED">
        <w:rPr>
          <w:rFonts w:ascii="Arial" w:hAnsi="Arial" w:cs="Arial"/>
          <w:color w:val="000000"/>
        </w:rPr>
        <w:t xml:space="preserve"> $4.8 million; and,</w:t>
      </w:r>
    </w:p>
    <w:p w:rsidR="00491DE1" w:rsidRPr="009E06ED" w:rsidRDefault="00491DE1" w:rsidP="009E06ED">
      <w:pPr>
        <w:shd w:val="clear" w:color="auto" w:fill="FFFFFF"/>
        <w:ind w:left="1684" w:right="302" w:hanging="1454"/>
        <w:rPr>
          <w:rFonts w:ascii="Arial" w:hAnsi="Arial" w:cs="Arial"/>
          <w:color w:val="000000"/>
        </w:rPr>
      </w:pPr>
    </w:p>
    <w:p w:rsidR="009E06ED" w:rsidRDefault="009E06ED" w:rsidP="009E06ED">
      <w:pPr>
        <w:shd w:val="clear" w:color="auto" w:fill="FFFFFF"/>
        <w:ind w:left="1684" w:right="302" w:hanging="1454"/>
        <w:rPr>
          <w:rFonts w:ascii="Arial" w:hAnsi="Arial" w:cs="Arial"/>
          <w:color w:val="000000"/>
        </w:rPr>
      </w:pPr>
      <w:r w:rsidRPr="009E06ED">
        <w:rPr>
          <w:rFonts w:ascii="Arial" w:hAnsi="Arial" w:cs="Arial"/>
          <w:bCs/>
          <w:color w:val="000000"/>
        </w:rPr>
        <w:t>WHEREAS,</w:t>
      </w:r>
      <w:r w:rsidRPr="009E06ED">
        <w:rPr>
          <w:rFonts w:ascii="Arial" w:hAnsi="Arial" w:cs="Arial"/>
          <w:color w:val="000000"/>
        </w:rPr>
        <w:t> </w:t>
      </w:r>
      <w:r w:rsidRPr="009E06ED">
        <w:rPr>
          <w:rFonts w:ascii="Arial" w:hAnsi="Arial" w:cs="Arial"/>
          <w:color w:val="000000"/>
        </w:rPr>
        <w:tab/>
        <w:t>The Section 184 Loan Guarantee Program is a key mortgage financing tool that has demonstrated success in Indian Country and shoul</w:t>
      </w:r>
      <w:r w:rsidR="00491DE1">
        <w:rPr>
          <w:rFonts w:ascii="Arial" w:hAnsi="Arial" w:cs="Arial"/>
          <w:color w:val="000000"/>
        </w:rPr>
        <w:t>d be funded at $18 million; and</w:t>
      </w:r>
    </w:p>
    <w:p w:rsidR="00491DE1" w:rsidRPr="009E06ED" w:rsidRDefault="00491DE1" w:rsidP="009E06ED">
      <w:pPr>
        <w:shd w:val="clear" w:color="auto" w:fill="FFFFFF"/>
        <w:ind w:left="1684" w:right="302" w:hanging="1454"/>
        <w:rPr>
          <w:rFonts w:ascii="Arial" w:hAnsi="Arial" w:cs="Arial"/>
          <w:color w:val="000000"/>
        </w:rPr>
      </w:pPr>
    </w:p>
    <w:p w:rsidR="009E06ED" w:rsidRPr="009E06ED" w:rsidRDefault="009E06ED" w:rsidP="009E06ED">
      <w:pPr>
        <w:shd w:val="clear" w:color="auto" w:fill="FFFFFF"/>
        <w:ind w:left="1684" w:right="302" w:hanging="1454"/>
        <w:rPr>
          <w:rFonts w:ascii="Arial" w:hAnsi="Arial" w:cs="Arial"/>
          <w:color w:val="000000"/>
        </w:rPr>
      </w:pPr>
      <w:r w:rsidRPr="009E06ED">
        <w:rPr>
          <w:rFonts w:ascii="Arial" w:hAnsi="Arial" w:cs="Arial"/>
          <w:bCs/>
          <w:color w:val="000000"/>
        </w:rPr>
        <w:t>WHEREAS,</w:t>
      </w:r>
      <w:r w:rsidRPr="009E06ED">
        <w:rPr>
          <w:rFonts w:ascii="Arial" w:hAnsi="Arial" w:cs="Arial"/>
          <w:color w:val="000000"/>
        </w:rPr>
        <w:t> </w:t>
      </w:r>
      <w:r w:rsidRPr="009E06ED">
        <w:rPr>
          <w:rFonts w:ascii="Arial" w:hAnsi="Arial" w:cs="Arial"/>
          <w:color w:val="000000"/>
        </w:rPr>
        <w:tab/>
        <w:t>The Title VI Loan Guarantee Program is a key financial tool for Indian tribes and their tribally designated housing entities to spur housing and community development and should be funded at $2 million dollars; and</w:t>
      </w:r>
    </w:p>
    <w:p w:rsidR="009E06ED" w:rsidRPr="009E06ED" w:rsidRDefault="009E06ED" w:rsidP="009E06ED">
      <w:pPr>
        <w:shd w:val="clear" w:color="auto" w:fill="FFFFFF"/>
        <w:ind w:left="1684" w:right="302" w:hanging="1454"/>
        <w:rPr>
          <w:rFonts w:ascii="Arial" w:hAnsi="Arial" w:cs="Arial"/>
          <w:color w:val="000000"/>
        </w:rPr>
      </w:pPr>
    </w:p>
    <w:p w:rsidR="009E06ED" w:rsidRPr="009E06ED" w:rsidRDefault="009E06ED" w:rsidP="009E06ED">
      <w:pPr>
        <w:shd w:val="clear" w:color="auto" w:fill="FFFFFF"/>
        <w:ind w:left="1684" w:right="302" w:hanging="1454"/>
        <w:rPr>
          <w:rFonts w:ascii="Arial" w:hAnsi="Arial" w:cs="Arial"/>
          <w:color w:val="000000"/>
        </w:rPr>
      </w:pPr>
      <w:r w:rsidRPr="009E06ED">
        <w:rPr>
          <w:rFonts w:ascii="Arial" w:hAnsi="Arial" w:cs="Arial"/>
          <w:bCs/>
          <w:color w:val="000000"/>
        </w:rPr>
        <w:t>WHEREAS,</w:t>
      </w:r>
      <w:r w:rsidRPr="009E06ED">
        <w:rPr>
          <w:rFonts w:ascii="Arial" w:hAnsi="Arial" w:cs="Arial"/>
          <w:color w:val="000000"/>
        </w:rPr>
        <w:t> </w:t>
      </w:r>
      <w:r w:rsidRPr="009E06ED">
        <w:rPr>
          <w:rFonts w:ascii="Arial" w:hAnsi="Arial" w:cs="Arial"/>
          <w:color w:val="000000"/>
        </w:rPr>
        <w:tab/>
        <w:t xml:space="preserve">The funding for the Native Hawaiian Housing Block Grant Program should be increased to at least $20 million to address the significant needs for low-income and affordable housing on the Native Hawaiian Home Lands; and similarly, the Section 184A Loan Guarantee </w:t>
      </w:r>
      <w:r w:rsidRPr="009E06ED">
        <w:rPr>
          <w:rFonts w:ascii="Arial" w:hAnsi="Arial" w:cs="Arial"/>
          <w:color w:val="000000"/>
        </w:rPr>
        <w:lastRenderedPageBreak/>
        <w:t>Program should be funded at the $1 million level; and</w:t>
      </w:r>
    </w:p>
    <w:p w:rsidR="009E06ED" w:rsidRPr="009E06ED" w:rsidRDefault="009E06ED" w:rsidP="009E06ED">
      <w:pPr>
        <w:shd w:val="clear" w:color="auto" w:fill="FFFFFF"/>
        <w:ind w:left="1684" w:right="302" w:hanging="1454"/>
        <w:rPr>
          <w:rFonts w:ascii="Arial" w:hAnsi="Arial" w:cs="Arial"/>
          <w:color w:val="000000"/>
        </w:rPr>
      </w:pPr>
    </w:p>
    <w:p w:rsidR="009E06ED" w:rsidRPr="009E06ED" w:rsidRDefault="009E06ED" w:rsidP="009E06ED">
      <w:pPr>
        <w:shd w:val="clear" w:color="auto" w:fill="FFFFFF"/>
        <w:ind w:left="1684" w:right="302" w:hanging="1454"/>
        <w:rPr>
          <w:rFonts w:ascii="Arial" w:hAnsi="Arial" w:cs="Arial"/>
          <w:color w:val="000000"/>
        </w:rPr>
      </w:pPr>
      <w:r w:rsidRPr="009E06ED">
        <w:rPr>
          <w:rFonts w:ascii="Arial" w:hAnsi="Arial" w:cs="Arial"/>
          <w:bCs/>
          <w:color w:val="000000"/>
        </w:rPr>
        <w:t>WHEREAS,</w:t>
      </w:r>
      <w:r w:rsidRPr="009E06ED">
        <w:rPr>
          <w:rFonts w:ascii="Arial" w:hAnsi="Arial" w:cs="Arial"/>
          <w:color w:val="000000"/>
        </w:rPr>
        <w:t> </w:t>
      </w:r>
      <w:r w:rsidRPr="009E06ED">
        <w:rPr>
          <w:rFonts w:ascii="Arial" w:hAnsi="Arial" w:cs="Arial"/>
          <w:color w:val="000000"/>
        </w:rPr>
        <w:tab/>
        <w:t>The Community Development Financial institution (CDFI) Program has been instrumental in providing financial education and other financial lending services, including mortgage and small business loan opportunities throughout grossly underserved areas throughout Indian Country and should be funded at $245.9 million; and</w:t>
      </w:r>
    </w:p>
    <w:p w:rsidR="009E06ED" w:rsidRPr="009E06ED" w:rsidRDefault="009E06ED" w:rsidP="009E06ED">
      <w:pPr>
        <w:shd w:val="clear" w:color="auto" w:fill="FFFFFF"/>
        <w:ind w:left="1684" w:right="302" w:hanging="1454"/>
        <w:rPr>
          <w:rFonts w:ascii="Arial" w:hAnsi="Arial" w:cs="Arial"/>
          <w:color w:val="000000"/>
        </w:rPr>
      </w:pPr>
    </w:p>
    <w:p w:rsidR="009E06ED" w:rsidRPr="009E06ED" w:rsidRDefault="009E06ED" w:rsidP="009E06ED">
      <w:pPr>
        <w:shd w:val="clear" w:color="auto" w:fill="FFFFFF"/>
        <w:ind w:left="1684" w:right="302" w:hanging="1454"/>
        <w:rPr>
          <w:rFonts w:ascii="Arial" w:hAnsi="Arial" w:cs="Arial"/>
          <w:color w:val="000000"/>
          <w:shd w:val="clear" w:color="auto" w:fill="FFFFFF"/>
        </w:rPr>
      </w:pPr>
      <w:r w:rsidRPr="009E06ED">
        <w:rPr>
          <w:rFonts w:ascii="Arial" w:hAnsi="Arial" w:cs="Arial"/>
          <w:bCs/>
          <w:color w:val="000000"/>
        </w:rPr>
        <w:t>WHEREAS,</w:t>
      </w:r>
      <w:r w:rsidRPr="009E06ED">
        <w:rPr>
          <w:rFonts w:ascii="Arial" w:hAnsi="Arial" w:cs="Arial"/>
          <w:color w:val="000000"/>
        </w:rPr>
        <w:t> </w:t>
      </w:r>
      <w:r w:rsidRPr="009E06ED">
        <w:rPr>
          <w:rFonts w:ascii="Arial" w:hAnsi="Arial" w:cs="Arial"/>
          <w:color w:val="000000"/>
        </w:rPr>
        <w:tab/>
      </w:r>
      <w:r w:rsidRPr="009E06ED">
        <w:rPr>
          <w:rFonts w:ascii="Arial" w:hAnsi="Arial" w:cs="Arial"/>
          <w:color w:val="000000"/>
          <w:shd w:val="clear" w:color="auto" w:fill="FFFFFF"/>
        </w:rPr>
        <w:t xml:space="preserve">Earlier this year, the U.S. Department of Housing and Urban Development (HUD) and the U.S. Department of Veterans Affairs (VA) awarded grants to 26 Tribes to offer a permanent home and supportive services to Native American Veterans who are experiencing or at risk of experiencing homelessness, known as the HUD-Veterans Affairs Supporting Housing (HUD-VASH) Program. </w:t>
      </w:r>
    </w:p>
    <w:p w:rsidR="009E06ED" w:rsidRPr="009E06ED" w:rsidRDefault="009E06ED" w:rsidP="009E06ED">
      <w:pPr>
        <w:shd w:val="clear" w:color="auto" w:fill="FFFFFF"/>
        <w:ind w:left="1684" w:right="302" w:hanging="1454"/>
        <w:rPr>
          <w:rFonts w:ascii="Arial" w:hAnsi="Arial" w:cs="Arial"/>
          <w:color w:val="000000"/>
          <w:shd w:val="clear" w:color="auto" w:fill="FFFFFF"/>
        </w:rPr>
      </w:pPr>
    </w:p>
    <w:p w:rsidR="009E06ED" w:rsidRPr="009E06ED" w:rsidRDefault="009E06ED" w:rsidP="009E06ED">
      <w:pPr>
        <w:ind w:left="553"/>
        <w:rPr>
          <w:rFonts w:ascii="Arial" w:hAnsi="Arial" w:cs="Arial"/>
          <w:b/>
        </w:rPr>
      </w:pPr>
      <w:r w:rsidRPr="009E06ED">
        <w:rPr>
          <w:rFonts w:ascii="Arial" w:hAnsi="Arial" w:cs="Arial"/>
          <w:b/>
        </w:rPr>
        <w:t>NOW THEREFORE BE IT RESOLVED that the National American Indian Housing Council’s highest priority is ensuring that there is sufficient funding in the congressionally approved and enacted federal budget for NAHASDA recipients to meet the basic housing needs of American Indian, Alaska Native and Native Hawaiians beneficiaries through the IHBG Program; and</w:t>
      </w:r>
    </w:p>
    <w:p w:rsidR="009E06ED" w:rsidRPr="009E06ED" w:rsidRDefault="009E06ED" w:rsidP="009E06ED">
      <w:pPr>
        <w:ind w:left="553"/>
        <w:rPr>
          <w:rFonts w:ascii="Arial" w:hAnsi="Arial" w:cs="Arial"/>
          <w:b/>
          <w:u w:val="single"/>
        </w:rPr>
      </w:pPr>
    </w:p>
    <w:p w:rsidR="009E06ED" w:rsidRPr="009E06ED" w:rsidRDefault="009E06ED" w:rsidP="009E06ED">
      <w:pPr>
        <w:ind w:left="553"/>
        <w:rPr>
          <w:rFonts w:ascii="Arial" w:hAnsi="Arial" w:cs="Arial"/>
          <w:b/>
        </w:rPr>
      </w:pPr>
      <w:r w:rsidRPr="009E06ED">
        <w:rPr>
          <w:rFonts w:ascii="Arial" w:hAnsi="Arial" w:cs="Arial"/>
          <w:b/>
        </w:rPr>
        <w:t xml:space="preserve">BE IT FURTHER RESOLVED, that the National American Indian Housing Council therefore strongly urges the Congress of the United States to fund the IHBG Program at no less than $700 million for FY 2016, and to provide consistent, substantial increases in subsequent fiscal years of not less than $50 million each subsequent year until the program has at a minimum recovered its inflationary losses; and   </w:t>
      </w:r>
    </w:p>
    <w:p w:rsidR="009E06ED" w:rsidRPr="009E06ED" w:rsidRDefault="009E06ED" w:rsidP="009E06ED">
      <w:pPr>
        <w:pStyle w:val="BodyText"/>
        <w:tabs>
          <w:tab w:val="left" w:pos="621"/>
        </w:tabs>
        <w:kinsoku w:val="0"/>
        <w:overflowPunct w:val="0"/>
        <w:ind w:left="620"/>
        <w:rPr>
          <w:rFonts w:ascii="Arial" w:hAnsi="Arial" w:cs="Arial"/>
          <w:b/>
          <w:sz w:val="24"/>
          <w:szCs w:val="24"/>
        </w:rPr>
      </w:pPr>
    </w:p>
    <w:p w:rsidR="009E06ED" w:rsidRPr="009E06ED" w:rsidRDefault="009E06ED" w:rsidP="009E06ED">
      <w:pPr>
        <w:pStyle w:val="BodyText"/>
        <w:tabs>
          <w:tab w:val="left" w:pos="621"/>
        </w:tabs>
        <w:kinsoku w:val="0"/>
        <w:overflowPunct w:val="0"/>
        <w:spacing w:before="51"/>
        <w:ind w:left="620"/>
        <w:rPr>
          <w:rFonts w:ascii="Arial" w:hAnsi="Arial" w:cs="Arial"/>
          <w:b/>
          <w:sz w:val="24"/>
          <w:szCs w:val="24"/>
        </w:rPr>
      </w:pPr>
      <w:r w:rsidRPr="009E06ED">
        <w:rPr>
          <w:rFonts w:ascii="Arial" w:hAnsi="Arial" w:cs="Arial"/>
          <w:b/>
          <w:sz w:val="24"/>
          <w:szCs w:val="24"/>
        </w:rPr>
        <w:t>BE IT FURTHER RESOLVED, that the National American Indian Housing Council strongly urges the Congress of the United States to fund additional critically necessary housing related programs at the following levels:</w:t>
      </w:r>
    </w:p>
    <w:p w:rsidR="009E06ED" w:rsidRPr="009E06ED" w:rsidRDefault="009E06ED" w:rsidP="009E06ED">
      <w:pPr>
        <w:pStyle w:val="ListParagraph"/>
        <w:rPr>
          <w:rFonts w:ascii="Arial" w:hAnsi="Arial" w:cs="Arial"/>
          <w:b/>
        </w:rPr>
      </w:pPr>
    </w:p>
    <w:p w:rsidR="009E06ED" w:rsidRPr="009E06ED" w:rsidRDefault="009E06ED" w:rsidP="009E06ED">
      <w:pPr>
        <w:numPr>
          <w:ilvl w:val="0"/>
          <w:numId w:val="5"/>
        </w:numPr>
        <w:tabs>
          <w:tab w:val="left" w:pos="-1440"/>
        </w:tabs>
        <w:rPr>
          <w:rFonts w:ascii="Arial" w:hAnsi="Arial" w:cs="Arial"/>
          <w:b/>
          <w:color w:val="000000"/>
        </w:rPr>
      </w:pPr>
      <w:r w:rsidRPr="009E06ED">
        <w:rPr>
          <w:rFonts w:ascii="Arial" w:hAnsi="Arial" w:cs="Arial"/>
          <w:b/>
          <w:color w:val="000000"/>
        </w:rPr>
        <w:t>Indian Community Development Block Grant Program:  $100 million;</w:t>
      </w:r>
    </w:p>
    <w:p w:rsidR="009E06ED" w:rsidRPr="009E06ED" w:rsidRDefault="009E06ED" w:rsidP="009E06ED">
      <w:pPr>
        <w:numPr>
          <w:ilvl w:val="0"/>
          <w:numId w:val="5"/>
        </w:numPr>
        <w:tabs>
          <w:tab w:val="left" w:pos="-1440"/>
        </w:tabs>
        <w:rPr>
          <w:rFonts w:ascii="Arial" w:hAnsi="Arial" w:cs="Arial"/>
          <w:b/>
          <w:color w:val="000000"/>
        </w:rPr>
      </w:pPr>
      <w:r w:rsidRPr="009E06ED">
        <w:rPr>
          <w:rFonts w:ascii="Arial" w:hAnsi="Arial" w:cs="Arial"/>
          <w:b/>
          <w:color w:val="000000"/>
        </w:rPr>
        <w:t xml:space="preserve">NAHASDA Section 703 </w:t>
      </w:r>
      <w:r w:rsidRPr="0093263F">
        <w:rPr>
          <w:rFonts w:ascii="Arial" w:hAnsi="Arial" w:cs="Arial"/>
          <w:b/>
          <w:color w:val="000000"/>
        </w:rPr>
        <w:t xml:space="preserve">for </w:t>
      </w:r>
      <w:r w:rsidRPr="009E06ED">
        <w:rPr>
          <w:rFonts w:ascii="Arial" w:hAnsi="Arial" w:cs="Arial"/>
          <w:b/>
          <w:color w:val="000000"/>
        </w:rPr>
        <w:t>Training and Technical Assistance:  $4.8 million;</w:t>
      </w:r>
    </w:p>
    <w:p w:rsidR="009E06ED" w:rsidRPr="009E06ED" w:rsidRDefault="009E06ED" w:rsidP="009E06ED">
      <w:pPr>
        <w:numPr>
          <w:ilvl w:val="0"/>
          <w:numId w:val="5"/>
        </w:numPr>
        <w:tabs>
          <w:tab w:val="left" w:pos="-1440"/>
        </w:tabs>
        <w:rPr>
          <w:rFonts w:ascii="Arial" w:hAnsi="Arial" w:cs="Arial"/>
          <w:b/>
          <w:color w:val="000000"/>
        </w:rPr>
      </w:pPr>
      <w:r w:rsidRPr="009E06ED">
        <w:rPr>
          <w:rFonts w:ascii="Arial" w:hAnsi="Arial" w:cs="Arial"/>
          <w:b/>
          <w:color w:val="000000"/>
        </w:rPr>
        <w:t>Section 184 Loan Guarantee Program:  $18 million;</w:t>
      </w:r>
    </w:p>
    <w:p w:rsidR="009E06ED" w:rsidRPr="009E06ED" w:rsidRDefault="009E06ED" w:rsidP="009E06ED">
      <w:pPr>
        <w:numPr>
          <w:ilvl w:val="0"/>
          <w:numId w:val="5"/>
        </w:numPr>
        <w:tabs>
          <w:tab w:val="left" w:pos="-1440"/>
        </w:tabs>
        <w:rPr>
          <w:rFonts w:ascii="Arial" w:hAnsi="Arial" w:cs="Arial"/>
          <w:b/>
          <w:color w:val="000000"/>
        </w:rPr>
      </w:pPr>
      <w:r w:rsidRPr="009E06ED">
        <w:rPr>
          <w:rFonts w:ascii="Arial" w:hAnsi="Arial" w:cs="Arial"/>
          <w:b/>
          <w:color w:val="000000"/>
        </w:rPr>
        <w:t>Title VI Loan Guarantee Program:  $2 million;</w:t>
      </w:r>
    </w:p>
    <w:p w:rsidR="009E06ED" w:rsidRPr="009E06ED" w:rsidRDefault="009E06ED" w:rsidP="009E06ED">
      <w:pPr>
        <w:numPr>
          <w:ilvl w:val="0"/>
          <w:numId w:val="5"/>
        </w:numPr>
        <w:tabs>
          <w:tab w:val="left" w:pos="-1440"/>
        </w:tabs>
        <w:rPr>
          <w:rFonts w:ascii="Arial" w:hAnsi="Arial" w:cs="Arial"/>
          <w:b/>
          <w:color w:val="000000"/>
        </w:rPr>
      </w:pPr>
      <w:r w:rsidRPr="009E06ED">
        <w:rPr>
          <w:rFonts w:ascii="Arial" w:hAnsi="Arial" w:cs="Arial"/>
          <w:b/>
        </w:rPr>
        <w:t>Native Hawaiian Housing Block Grant Program:  $20 million;</w:t>
      </w:r>
    </w:p>
    <w:p w:rsidR="009E06ED" w:rsidRPr="009E06ED" w:rsidRDefault="009E06ED" w:rsidP="009E06ED">
      <w:pPr>
        <w:numPr>
          <w:ilvl w:val="0"/>
          <w:numId w:val="5"/>
        </w:numPr>
        <w:tabs>
          <w:tab w:val="left" w:pos="-1440"/>
        </w:tabs>
        <w:rPr>
          <w:rFonts w:ascii="Arial" w:hAnsi="Arial" w:cs="Arial"/>
          <w:b/>
        </w:rPr>
      </w:pPr>
      <w:r w:rsidRPr="009E06ED">
        <w:rPr>
          <w:rFonts w:ascii="Arial" w:hAnsi="Arial" w:cs="Arial"/>
          <w:b/>
        </w:rPr>
        <w:t>Section 184A Loan Guarantee Program:  $1 million; and</w:t>
      </w:r>
    </w:p>
    <w:p w:rsidR="009E06ED" w:rsidRPr="009E06ED" w:rsidRDefault="009E06ED" w:rsidP="009E06ED">
      <w:pPr>
        <w:numPr>
          <w:ilvl w:val="0"/>
          <w:numId w:val="5"/>
        </w:numPr>
        <w:tabs>
          <w:tab w:val="left" w:pos="-1440"/>
        </w:tabs>
        <w:rPr>
          <w:rFonts w:ascii="Arial" w:hAnsi="Arial" w:cs="Arial"/>
          <w:b/>
          <w:bCs/>
        </w:rPr>
      </w:pPr>
      <w:r w:rsidRPr="009E06ED">
        <w:rPr>
          <w:rFonts w:ascii="Arial" w:hAnsi="Arial" w:cs="Arial"/>
          <w:b/>
        </w:rPr>
        <w:t>Community Development Financial Institutions (CDFI) Funds: 245.9 million</w:t>
      </w:r>
    </w:p>
    <w:p w:rsidR="009E06ED" w:rsidRPr="009E06ED" w:rsidRDefault="009E06ED" w:rsidP="009E06ED">
      <w:pPr>
        <w:numPr>
          <w:ilvl w:val="0"/>
          <w:numId w:val="5"/>
        </w:numPr>
        <w:tabs>
          <w:tab w:val="left" w:pos="-1440"/>
        </w:tabs>
        <w:rPr>
          <w:rFonts w:ascii="Arial" w:hAnsi="Arial" w:cs="Arial"/>
          <w:b/>
          <w:bCs/>
        </w:rPr>
      </w:pPr>
      <w:r w:rsidRPr="009E06ED">
        <w:rPr>
          <w:rFonts w:ascii="Arial" w:hAnsi="Arial" w:cs="Arial"/>
          <w:b/>
        </w:rPr>
        <w:t>HUD-VASH Demonstration Program:  $5.2 million</w:t>
      </w:r>
    </w:p>
    <w:p w:rsidR="009E06ED" w:rsidRPr="009E06ED" w:rsidRDefault="009E06ED" w:rsidP="009E06ED">
      <w:pPr>
        <w:tabs>
          <w:tab w:val="left" w:pos="422"/>
        </w:tabs>
        <w:kinsoku w:val="0"/>
        <w:overflowPunct w:val="0"/>
        <w:ind w:left="547"/>
        <w:rPr>
          <w:rFonts w:ascii="Arial" w:hAnsi="Arial" w:cs="Arial"/>
          <w:b/>
          <w:bCs/>
        </w:rPr>
      </w:pPr>
    </w:p>
    <w:p w:rsidR="009E06ED" w:rsidRPr="009E06ED" w:rsidRDefault="009E06ED" w:rsidP="009E06ED">
      <w:pPr>
        <w:tabs>
          <w:tab w:val="left" w:pos="422"/>
        </w:tabs>
        <w:kinsoku w:val="0"/>
        <w:overflowPunct w:val="0"/>
        <w:ind w:left="547"/>
        <w:rPr>
          <w:rFonts w:ascii="Arial" w:hAnsi="Arial" w:cs="Arial"/>
          <w:b/>
        </w:rPr>
      </w:pPr>
      <w:r w:rsidRPr="009E06ED">
        <w:rPr>
          <w:rFonts w:ascii="Arial" w:hAnsi="Arial" w:cs="Arial"/>
          <w:b/>
          <w:bCs/>
        </w:rPr>
        <w:t xml:space="preserve">BE IT FURTHER RESOLVED, that the National American Indian Housing Council, through its membership, does hereby respectfully request the National Congress of American Indians and all other regional Native </w:t>
      </w:r>
      <w:r w:rsidRPr="009E06ED">
        <w:rPr>
          <w:rFonts w:ascii="Arial" w:hAnsi="Arial" w:cs="Arial"/>
          <w:b/>
          <w:bCs/>
        </w:rPr>
        <w:lastRenderedPageBreak/>
        <w:t>American associations and organizations to join with NWIHA in supporting this Resolution.</w:t>
      </w:r>
    </w:p>
    <w:p w:rsidR="009E06ED" w:rsidRPr="009E06ED" w:rsidRDefault="009E06ED" w:rsidP="009E06ED">
      <w:pPr>
        <w:pStyle w:val="BodyText"/>
        <w:kinsoku w:val="0"/>
        <w:overflowPunct w:val="0"/>
        <w:ind w:left="519"/>
        <w:rPr>
          <w:rFonts w:ascii="Arial" w:hAnsi="Arial" w:cs="Arial"/>
          <w:sz w:val="24"/>
          <w:szCs w:val="24"/>
        </w:rPr>
      </w:pPr>
    </w:p>
    <w:p w:rsidR="00CD695A" w:rsidRPr="002521D0" w:rsidRDefault="00CD695A" w:rsidP="00CD695A">
      <w:pPr>
        <w:pStyle w:val="Default"/>
        <w:spacing w:after="200"/>
        <w:ind w:left="180"/>
        <w:jc w:val="both"/>
        <w:rPr>
          <w:rFonts w:ascii="Arial" w:hAnsi="Arial" w:cs="Arial"/>
        </w:rPr>
      </w:pPr>
      <w:r w:rsidRPr="002521D0">
        <w:rPr>
          <w:rFonts w:ascii="Arial" w:hAnsi="Arial" w:cs="Arial"/>
          <w:b/>
          <w:bCs/>
        </w:rPr>
        <w:t xml:space="preserve">C E R T I F I C A T I O N </w:t>
      </w:r>
    </w:p>
    <w:p w:rsidR="00CD695A" w:rsidRDefault="00CD695A" w:rsidP="00CD695A">
      <w:pPr>
        <w:pStyle w:val="Default"/>
        <w:ind w:left="187"/>
        <w:jc w:val="both"/>
        <w:rPr>
          <w:rFonts w:ascii="Arial" w:hAnsi="Arial" w:cs="Arial"/>
          <w:b/>
          <w:bCs/>
        </w:rPr>
      </w:pPr>
      <w:r w:rsidRPr="002521D0">
        <w:rPr>
          <w:rFonts w:ascii="Arial" w:hAnsi="Arial" w:cs="Arial"/>
          <w:b/>
          <w:bCs/>
        </w:rPr>
        <w:t>As the duty appointed Secretary for the National American Indian Housing Council, I here</w:t>
      </w:r>
      <w:r>
        <w:rPr>
          <w:rFonts w:ascii="Arial" w:hAnsi="Arial" w:cs="Arial"/>
          <w:b/>
          <w:bCs/>
        </w:rPr>
        <w:t>by certify that Resolution #2016-02 was adopted May 11, 2016</w:t>
      </w:r>
      <w:r w:rsidRPr="002521D0">
        <w:rPr>
          <w:rFonts w:ascii="Arial" w:hAnsi="Arial" w:cs="Arial"/>
          <w:b/>
          <w:bCs/>
        </w:rPr>
        <w:t xml:space="preserve"> at NAIHC’s Annual Members Meeting in </w:t>
      </w:r>
      <w:r>
        <w:rPr>
          <w:rFonts w:ascii="Arial" w:hAnsi="Arial" w:cs="Arial"/>
          <w:b/>
          <w:bCs/>
        </w:rPr>
        <w:t>Honolulu, HI</w:t>
      </w:r>
      <w:r w:rsidRPr="002521D0">
        <w:rPr>
          <w:rFonts w:ascii="Arial" w:hAnsi="Arial" w:cs="Arial"/>
          <w:b/>
          <w:bCs/>
        </w:rPr>
        <w:t xml:space="preserve">, with a quorum present and by a supermajority of the vote. </w:t>
      </w:r>
    </w:p>
    <w:p w:rsidR="00CD695A" w:rsidRDefault="00CD695A" w:rsidP="00CD695A">
      <w:pPr>
        <w:pStyle w:val="Default"/>
        <w:ind w:left="187"/>
        <w:jc w:val="both"/>
        <w:rPr>
          <w:rFonts w:ascii="Arial" w:hAnsi="Arial" w:cs="Arial"/>
          <w:b/>
          <w:bCs/>
        </w:rPr>
      </w:pPr>
    </w:p>
    <w:p w:rsidR="00CD695A" w:rsidRPr="002521D0" w:rsidRDefault="00CD695A" w:rsidP="00CD695A">
      <w:pPr>
        <w:pStyle w:val="Default"/>
        <w:ind w:left="187"/>
        <w:jc w:val="both"/>
        <w:rPr>
          <w:rFonts w:ascii="Arial" w:hAnsi="Arial" w:cs="Arial"/>
        </w:rPr>
      </w:pPr>
      <w:r>
        <w:rPr>
          <w:rFonts w:cs="Tahoma"/>
          <w:b/>
          <w:bCs/>
          <w:iCs/>
          <w:noProof/>
        </w:rPr>
        <w:drawing>
          <wp:inline distT="0" distB="0" distL="0" distR="0" wp14:anchorId="4526DDCE" wp14:editId="7F181048">
            <wp:extent cx="1341120" cy="557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Jo-Difuntorum.jpg"/>
                    <pic:cNvPicPr/>
                  </pic:nvPicPr>
                  <pic:blipFill>
                    <a:blip r:embed="rId7">
                      <a:extLst>
                        <a:ext uri="{28A0092B-C50C-407E-A947-70E740481C1C}">
                          <a14:useLocalDpi xmlns:a14="http://schemas.microsoft.com/office/drawing/2010/main" val="0"/>
                        </a:ext>
                      </a:extLst>
                    </a:blip>
                    <a:stretch>
                      <a:fillRect/>
                    </a:stretch>
                  </pic:blipFill>
                  <pic:spPr>
                    <a:xfrm>
                      <a:off x="0" y="0"/>
                      <a:ext cx="1355790" cy="563444"/>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cs="Tahoma"/>
          <w:b/>
          <w:bCs/>
          <w:iCs/>
          <w:noProof/>
        </w:rPr>
        <w:drawing>
          <wp:inline distT="0" distB="0" distL="0" distR="0" wp14:anchorId="5935A24D" wp14:editId="79A03F75">
            <wp:extent cx="2028199" cy="5109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yd Tortalita.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770" cy="513109"/>
                    </a:xfrm>
                    <a:prstGeom prst="rect">
                      <a:avLst/>
                    </a:prstGeom>
                  </pic:spPr>
                </pic:pic>
              </a:graphicData>
            </a:graphic>
          </wp:inline>
        </w:drawing>
      </w:r>
    </w:p>
    <w:p w:rsidR="00CD695A" w:rsidRPr="002521D0" w:rsidRDefault="00CD695A" w:rsidP="00CD695A">
      <w:pPr>
        <w:pStyle w:val="Default"/>
        <w:ind w:left="180"/>
        <w:jc w:val="both"/>
        <w:rPr>
          <w:rFonts w:ascii="Arial" w:hAnsi="Arial" w:cs="Arial"/>
        </w:rPr>
      </w:pPr>
      <w:r w:rsidRPr="002521D0">
        <w:rPr>
          <w:rFonts w:ascii="Arial" w:hAnsi="Arial" w:cs="Arial"/>
          <w:b/>
          <w:bCs/>
        </w:rPr>
        <w:t xml:space="preserve">__________________________ </w:t>
      </w:r>
      <w:r w:rsidRPr="002521D0">
        <w:rPr>
          <w:rFonts w:ascii="Arial" w:hAnsi="Arial" w:cs="Arial"/>
          <w:b/>
          <w:bCs/>
        </w:rPr>
        <w:tab/>
      </w:r>
      <w:r w:rsidRPr="002521D0">
        <w:rPr>
          <w:rFonts w:ascii="Arial" w:hAnsi="Arial" w:cs="Arial"/>
          <w:b/>
          <w:bCs/>
        </w:rPr>
        <w:tab/>
        <w:t xml:space="preserve">___________________________ </w:t>
      </w:r>
    </w:p>
    <w:p w:rsidR="00CD695A" w:rsidRPr="002521D0" w:rsidRDefault="00CD695A" w:rsidP="00CD695A">
      <w:pPr>
        <w:ind w:firstLine="180"/>
        <w:rPr>
          <w:rFonts w:ascii="Arial" w:hAnsi="Arial" w:cs="Arial"/>
        </w:rPr>
      </w:pPr>
      <w:r w:rsidRPr="002521D0">
        <w:rPr>
          <w:rFonts w:ascii="Arial" w:hAnsi="Arial" w:cs="Arial"/>
          <w:b/>
          <w:bCs/>
        </w:rPr>
        <w:t>Sami Jo Difuntorum, Chair</w:t>
      </w:r>
      <w:r w:rsidRPr="002521D0">
        <w:rPr>
          <w:rFonts w:ascii="Arial" w:hAnsi="Arial" w:cs="Arial"/>
          <w:b/>
          <w:bCs/>
        </w:rPr>
        <w:tab/>
      </w:r>
      <w:r w:rsidRPr="002521D0">
        <w:rPr>
          <w:rFonts w:ascii="Arial" w:hAnsi="Arial" w:cs="Arial"/>
          <w:b/>
          <w:bCs/>
        </w:rPr>
        <w:tab/>
      </w:r>
      <w:r w:rsidR="00432F8A">
        <w:rPr>
          <w:rFonts w:ascii="Arial" w:hAnsi="Arial" w:cs="Arial"/>
          <w:b/>
          <w:bCs/>
        </w:rPr>
        <w:tab/>
      </w:r>
      <w:r>
        <w:rPr>
          <w:rFonts w:ascii="Arial" w:hAnsi="Arial" w:cs="Arial"/>
          <w:b/>
          <w:bCs/>
        </w:rPr>
        <w:t xml:space="preserve">Floyd </w:t>
      </w:r>
      <w:r w:rsidRPr="002521D0">
        <w:rPr>
          <w:rFonts w:ascii="Arial" w:hAnsi="Arial" w:cs="Arial"/>
          <w:b/>
          <w:bCs/>
        </w:rPr>
        <w:t>Tortalita, Secretary</w:t>
      </w:r>
    </w:p>
    <w:p w:rsidR="001F35E0" w:rsidRPr="009E06ED" w:rsidRDefault="001F35E0" w:rsidP="001F35E0">
      <w:pPr>
        <w:tabs>
          <w:tab w:val="right" w:leader="dot" w:pos="8280"/>
        </w:tabs>
        <w:contextualSpacing/>
        <w:rPr>
          <w:rFonts w:ascii="Arial" w:eastAsia="Times New Roman" w:hAnsi="Arial" w:cs="Arial"/>
        </w:rPr>
      </w:pPr>
    </w:p>
    <w:p w:rsidR="00D6518D" w:rsidRPr="00D6518D" w:rsidRDefault="00D6518D" w:rsidP="00D6518D">
      <w:pPr>
        <w:pStyle w:val="BodyText"/>
        <w:kinsoku w:val="0"/>
        <w:overflowPunct w:val="0"/>
        <w:spacing w:before="51"/>
        <w:ind w:left="519"/>
        <w:rPr>
          <w:rFonts w:cs="Times New Roman"/>
          <w:b/>
          <w:bCs/>
          <w:sz w:val="24"/>
          <w:szCs w:val="24"/>
        </w:rPr>
      </w:pPr>
    </w:p>
    <w:p w:rsidR="00D6518D" w:rsidRPr="003B4EE1" w:rsidRDefault="00D6518D" w:rsidP="004A0AC0">
      <w:pPr>
        <w:pStyle w:val="BodyText"/>
        <w:kinsoku w:val="0"/>
        <w:overflowPunct w:val="0"/>
        <w:spacing w:before="51"/>
        <w:ind w:left="519"/>
        <w:rPr>
          <w:rFonts w:asciiTheme="minorHAnsi" w:hAnsiTheme="minorHAnsi" w:cs="Times New Roman"/>
          <w:b/>
          <w:bCs/>
          <w:sz w:val="24"/>
          <w:szCs w:val="24"/>
        </w:rPr>
      </w:pPr>
    </w:p>
    <w:sectPr w:rsidR="00D6518D" w:rsidRPr="003B4EE1" w:rsidSect="00491DE1">
      <w:pgSz w:w="12240" w:h="15840"/>
      <w:pgMar w:top="1440" w:right="1440" w:bottom="1440" w:left="1440" w:header="720" w:footer="720" w:gutter="0"/>
      <w:cols w:space="720" w:equalWidth="0">
        <w:col w:w="94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8" w:hanging="360"/>
      </w:pPr>
      <w:rPr>
        <w:rFonts w:ascii="Calibri" w:hAnsi="Calibri" w:cs="Calibri"/>
        <w:b w:val="0"/>
        <w:bCs w:val="0"/>
        <w:sz w:val="22"/>
        <w:szCs w:val="22"/>
      </w:rPr>
    </w:lvl>
    <w:lvl w:ilvl="1">
      <w:numFmt w:val="bullet"/>
      <w:lvlText w:val="•"/>
      <w:lvlJc w:val="left"/>
      <w:pPr>
        <w:ind w:left="1750" w:hanging="360"/>
      </w:pPr>
    </w:lvl>
    <w:lvl w:ilvl="2">
      <w:numFmt w:val="bullet"/>
      <w:lvlText w:val="•"/>
      <w:lvlJc w:val="left"/>
      <w:pPr>
        <w:ind w:left="2663" w:hanging="360"/>
      </w:pPr>
    </w:lvl>
    <w:lvl w:ilvl="3">
      <w:numFmt w:val="bullet"/>
      <w:lvlText w:val="•"/>
      <w:lvlJc w:val="left"/>
      <w:pPr>
        <w:ind w:left="3575" w:hanging="360"/>
      </w:pPr>
    </w:lvl>
    <w:lvl w:ilvl="4">
      <w:numFmt w:val="bullet"/>
      <w:lvlText w:val="•"/>
      <w:lvlJc w:val="left"/>
      <w:pPr>
        <w:ind w:left="4487" w:hanging="360"/>
      </w:pPr>
    </w:lvl>
    <w:lvl w:ilvl="5">
      <w:numFmt w:val="bullet"/>
      <w:lvlText w:val="•"/>
      <w:lvlJc w:val="left"/>
      <w:pPr>
        <w:ind w:left="5399" w:hanging="360"/>
      </w:pPr>
    </w:lvl>
    <w:lvl w:ilvl="6">
      <w:numFmt w:val="bullet"/>
      <w:lvlText w:val="•"/>
      <w:lvlJc w:val="left"/>
      <w:pPr>
        <w:ind w:left="6311" w:hanging="360"/>
      </w:pPr>
    </w:lvl>
    <w:lvl w:ilvl="7">
      <w:numFmt w:val="bullet"/>
      <w:lvlText w:val="•"/>
      <w:lvlJc w:val="left"/>
      <w:pPr>
        <w:ind w:left="7223" w:hanging="360"/>
      </w:pPr>
    </w:lvl>
    <w:lvl w:ilvl="8">
      <w:numFmt w:val="bullet"/>
      <w:lvlText w:val="•"/>
      <w:lvlJc w:val="left"/>
      <w:pPr>
        <w:ind w:left="8135" w:hanging="360"/>
      </w:pPr>
    </w:lvl>
  </w:abstractNum>
  <w:abstractNum w:abstractNumId="1">
    <w:nsid w:val="00000403"/>
    <w:multiLevelType w:val="multilevel"/>
    <w:tmpl w:val="00000886"/>
    <w:lvl w:ilvl="0">
      <w:start w:val="1"/>
      <w:numFmt w:val="decimal"/>
      <w:lvlText w:val="%1)"/>
      <w:lvlJc w:val="left"/>
      <w:pPr>
        <w:ind w:left="553" w:hanging="308"/>
      </w:pPr>
      <w:rPr>
        <w:rFonts w:ascii="Calibri" w:hAnsi="Calibri" w:cs="Calibri"/>
        <w:b/>
        <w:bCs/>
        <w:w w:val="99"/>
        <w:sz w:val="24"/>
        <w:szCs w:val="24"/>
      </w:rPr>
    </w:lvl>
    <w:lvl w:ilvl="1">
      <w:numFmt w:val="bullet"/>
      <w:lvlText w:val="•"/>
      <w:lvlJc w:val="left"/>
      <w:pPr>
        <w:ind w:left="4135" w:hanging="308"/>
      </w:pPr>
    </w:lvl>
    <w:lvl w:ilvl="2">
      <w:numFmt w:val="bullet"/>
      <w:lvlText w:val="•"/>
      <w:lvlJc w:val="left"/>
      <w:pPr>
        <w:ind w:left="4740" w:hanging="308"/>
      </w:pPr>
    </w:lvl>
    <w:lvl w:ilvl="3">
      <w:numFmt w:val="bullet"/>
      <w:lvlText w:val="•"/>
      <w:lvlJc w:val="left"/>
      <w:pPr>
        <w:ind w:left="5345" w:hanging="308"/>
      </w:pPr>
    </w:lvl>
    <w:lvl w:ilvl="4">
      <w:numFmt w:val="bullet"/>
      <w:lvlText w:val="•"/>
      <w:lvlJc w:val="left"/>
      <w:pPr>
        <w:ind w:left="5950" w:hanging="308"/>
      </w:pPr>
    </w:lvl>
    <w:lvl w:ilvl="5">
      <w:numFmt w:val="bullet"/>
      <w:lvlText w:val="•"/>
      <w:lvlJc w:val="left"/>
      <w:pPr>
        <w:ind w:left="6555" w:hanging="308"/>
      </w:pPr>
    </w:lvl>
    <w:lvl w:ilvl="6">
      <w:numFmt w:val="bullet"/>
      <w:lvlText w:val="•"/>
      <w:lvlJc w:val="left"/>
      <w:pPr>
        <w:ind w:left="7160" w:hanging="308"/>
      </w:pPr>
    </w:lvl>
    <w:lvl w:ilvl="7">
      <w:numFmt w:val="bullet"/>
      <w:lvlText w:val="•"/>
      <w:lvlJc w:val="left"/>
      <w:pPr>
        <w:ind w:left="7765" w:hanging="308"/>
      </w:pPr>
    </w:lvl>
    <w:lvl w:ilvl="8">
      <w:numFmt w:val="bullet"/>
      <w:lvlText w:val="•"/>
      <w:lvlJc w:val="left"/>
      <w:pPr>
        <w:ind w:left="8370" w:hanging="308"/>
      </w:pPr>
    </w:lvl>
  </w:abstractNum>
  <w:abstractNum w:abstractNumId="2">
    <w:nsid w:val="0ED64DCF"/>
    <w:multiLevelType w:val="hybridMultilevel"/>
    <w:tmpl w:val="A97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554C"/>
    <w:multiLevelType w:val="hybridMultilevel"/>
    <w:tmpl w:val="3A9248C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6E56AEB"/>
    <w:multiLevelType w:val="hybridMultilevel"/>
    <w:tmpl w:val="07F0EF9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CA"/>
    <w:rsid w:val="000179F3"/>
    <w:rsid w:val="000C0E81"/>
    <w:rsid w:val="00165AC7"/>
    <w:rsid w:val="001F35E0"/>
    <w:rsid w:val="002423B5"/>
    <w:rsid w:val="00282D61"/>
    <w:rsid w:val="002C46F1"/>
    <w:rsid w:val="002F7A66"/>
    <w:rsid w:val="0031003E"/>
    <w:rsid w:val="00327B8F"/>
    <w:rsid w:val="003B4EE1"/>
    <w:rsid w:val="00432F8A"/>
    <w:rsid w:val="00491DE1"/>
    <w:rsid w:val="004A0AC0"/>
    <w:rsid w:val="00642D6C"/>
    <w:rsid w:val="006546B4"/>
    <w:rsid w:val="00751464"/>
    <w:rsid w:val="0078569D"/>
    <w:rsid w:val="007874D4"/>
    <w:rsid w:val="007C3F59"/>
    <w:rsid w:val="007D649B"/>
    <w:rsid w:val="00874EF7"/>
    <w:rsid w:val="008806A1"/>
    <w:rsid w:val="00880884"/>
    <w:rsid w:val="008B2346"/>
    <w:rsid w:val="009249B7"/>
    <w:rsid w:val="0093263F"/>
    <w:rsid w:val="009374D7"/>
    <w:rsid w:val="00997892"/>
    <w:rsid w:val="009E06ED"/>
    <w:rsid w:val="00A45D7B"/>
    <w:rsid w:val="00A54F7B"/>
    <w:rsid w:val="00B56166"/>
    <w:rsid w:val="00BA6FE6"/>
    <w:rsid w:val="00C104CB"/>
    <w:rsid w:val="00C45BD7"/>
    <w:rsid w:val="00CD695A"/>
    <w:rsid w:val="00CE5C49"/>
    <w:rsid w:val="00D145FD"/>
    <w:rsid w:val="00D21676"/>
    <w:rsid w:val="00D6518D"/>
    <w:rsid w:val="00D65944"/>
    <w:rsid w:val="00D70AF4"/>
    <w:rsid w:val="00D770CA"/>
    <w:rsid w:val="00E721C7"/>
    <w:rsid w:val="00ED3C7B"/>
    <w:rsid w:val="00EE77F5"/>
    <w:rsid w:val="00F717D3"/>
    <w:rsid w:val="00FA2E86"/>
    <w:rsid w:val="00F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F35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F35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NATIONAL AMERICAN INDIAN HOUSING COUNCIL</vt:lpstr>
    </vt:vector>
  </TitlesOfParts>
  <Company>Microsoft</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AMERICAN INDIAN HOUSING COUNCIL</dc:title>
  <dc:creator>spensoneau</dc:creator>
  <cp:lastModifiedBy>Valerie Butterbredt</cp:lastModifiedBy>
  <cp:revision>2</cp:revision>
  <cp:lastPrinted>2016-05-10T08:53:00Z</cp:lastPrinted>
  <dcterms:created xsi:type="dcterms:W3CDTF">2016-06-21T17:32:00Z</dcterms:created>
  <dcterms:modified xsi:type="dcterms:W3CDTF">2016-06-21T17:32:00Z</dcterms:modified>
</cp:coreProperties>
</file>