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2EC6E" w14:textId="77777777" w:rsidR="000B421F" w:rsidRPr="00685408" w:rsidRDefault="00010793" w:rsidP="001F4F21">
      <w:pPr>
        <w:jc w:val="center"/>
        <w:rPr>
          <w:rFonts w:ascii="Arial" w:hAnsi="Arial" w:cs="Arial"/>
          <w:b/>
          <w:sz w:val="28"/>
          <w:szCs w:val="28"/>
        </w:rPr>
      </w:pPr>
      <w:bookmarkStart w:id="0" w:name="_GoBack"/>
      <w:bookmarkEnd w:id="0"/>
      <w:r w:rsidRPr="00685408">
        <w:rPr>
          <w:rFonts w:ascii="Arial" w:hAnsi="Arial" w:cs="Arial"/>
          <w:b/>
          <w:sz w:val="28"/>
          <w:szCs w:val="28"/>
        </w:rPr>
        <w:t>Training Summary</w:t>
      </w:r>
    </w:p>
    <w:p w14:paraId="7ED50C40" w14:textId="485FBB16" w:rsidR="00010793" w:rsidRPr="00685408" w:rsidRDefault="007C4756" w:rsidP="00D60A2C">
      <w:pPr>
        <w:ind w:firstLine="720"/>
        <w:rPr>
          <w:rFonts w:ascii="Arial" w:hAnsi="Arial" w:cs="Arial"/>
          <w:sz w:val="24"/>
          <w:szCs w:val="24"/>
        </w:rPr>
      </w:pPr>
      <w:r w:rsidRPr="00685408">
        <w:rPr>
          <w:rFonts w:ascii="Arial" w:hAnsi="Arial" w:cs="Arial"/>
          <w:sz w:val="24"/>
          <w:szCs w:val="24"/>
        </w:rPr>
        <w:t xml:space="preserve">This training is developed by the U.S. Department of Housing and Urban Development’s (HUD) Office of Native American Programs (ONAP) as a primer on the </w:t>
      </w:r>
      <w:r w:rsidR="00D71FC0" w:rsidRPr="00685408">
        <w:rPr>
          <w:rFonts w:ascii="Arial" w:hAnsi="Arial" w:cs="Arial"/>
          <w:b/>
          <w:i/>
          <w:sz w:val="24"/>
          <w:szCs w:val="24"/>
        </w:rPr>
        <w:t>Uniform Administrative Requirements, Cost Principles, and Audit Requirements for Federal Awards</w:t>
      </w:r>
      <w:r w:rsidR="00D71FC0" w:rsidRPr="00685408">
        <w:rPr>
          <w:rFonts w:ascii="Arial" w:hAnsi="Arial" w:cs="Arial"/>
          <w:sz w:val="24"/>
          <w:szCs w:val="24"/>
        </w:rPr>
        <w:t xml:space="preserve"> (the OMB’s new “Uniform Guidance); Final Rule,</w:t>
      </w:r>
      <w:r w:rsidRPr="00685408">
        <w:rPr>
          <w:rFonts w:ascii="Arial" w:hAnsi="Arial" w:cs="Arial"/>
          <w:sz w:val="24"/>
          <w:szCs w:val="24"/>
        </w:rPr>
        <w:t xml:space="preserve"> which</w:t>
      </w:r>
      <w:r w:rsidR="00D71FC0" w:rsidRPr="00685408">
        <w:rPr>
          <w:rFonts w:ascii="Arial" w:hAnsi="Arial" w:cs="Arial"/>
          <w:sz w:val="24"/>
          <w:szCs w:val="24"/>
        </w:rPr>
        <w:t xml:space="preserve"> became effective on </w:t>
      </w:r>
      <w:r w:rsidR="00D71FC0" w:rsidRPr="007D7979">
        <w:rPr>
          <w:rFonts w:ascii="Arial" w:hAnsi="Arial" w:cs="Arial"/>
          <w:sz w:val="24"/>
          <w:szCs w:val="24"/>
          <w:u w:val="single"/>
        </w:rPr>
        <w:t xml:space="preserve">December 26, </w:t>
      </w:r>
      <w:r w:rsidR="00D71FC0" w:rsidRPr="001B6BD3">
        <w:rPr>
          <w:rFonts w:ascii="Arial" w:hAnsi="Arial" w:cs="Arial"/>
          <w:sz w:val="24"/>
          <w:szCs w:val="24"/>
          <w:u w:val="single"/>
        </w:rPr>
        <w:t>2014</w:t>
      </w:r>
      <w:r w:rsidR="008158AA" w:rsidRPr="00685408">
        <w:rPr>
          <w:rFonts w:ascii="Arial" w:hAnsi="Arial" w:cs="Arial"/>
          <w:sz w:val="24"/>
          <w:szCs w:val="24"/>
        </w:rPr>
        <w:t xml:space="preserve">. </w:t>
      </w:r>
      <w:r w:rsidR="0056383E" w:rsidRPr="00685408">
        <w:rPr>
          <w:rFonts w:ascii="Arial" w:hAnsi="Arial" w:cs="Arial"/>
          <w:sz w:val="24"/>
          <w:szCs w:val="24"/>
        </w:rPr>
        <w:t>The new rule incorporates existing guidance from OMB Circulars A-21, A-50, A-87, A-89, A-102, A-110, A-122, A-133</w:t>
      </w:r>
      <w:r w:rsidR="0056383E">
        <w:rPr>
          <w:rFonts w:ascii="Arial" w:hAnsi="Arial" w:cs="Arial"/>
          <w:sz w:val="24"/>
          <w:szCs w:val="24"/>
        </w:rPr>
        <w:t>,</w:t>
      </w:r>
      <w:r w:rsidR="0056383E" w:rsidRPr="00685408">
        <w:rPr>
          <w:rFonts w:ascii="Arial" w:hAnsi="Arial" w:cs="Arial"/>
          <w:sz w:val="24"/>
          <w:szCs w:val="24"/>
        </w:rPr>
        <w:t xml:space="preserve"> and </w:t>
      </w:r>
      <w:r w:rsidR="0056383E">
        <w:rPr>
          <w:rFonts w:ascii="Arial" w:hAnsi="Arial" w:cs="Arial"/>
          <w:sz w:val="24"/>
          <w:szCs w:val="24"/>
        </w:rPr>
        <w:t>removed</w:t>
      </w:r>
      <w:r w:rsidR="0056383E" w:rsidRPr="00D60A2C">
        <w:rPr>
          <w:rFonts w:ascii="Arial" w:hAnsi="Arial" w:cs="Arial"/>
          <w:sz w:val="24"/>
          <w:szCs w:val="24"/>
        </w:rPr>
        <w:t xml:space="preserve"> 2 CFR parts 215, 220, 225, and 230</w:t>
      </w:r>
      <w:r w:rsidR="0056383E" w:rsidRPr="00685408">
        <w:rPr>
          <w:rFonts w:ascii="Arial" w:hAnsi="Arial" w:cs="Arial"/>
          <w:sz w:val="24"/>
          <w:szCs w:val="24"/>
        </w:rPr>
        <w:t xml:space="preserve">.  </w:t>
      </w:r>
      <w:r w:rsidRPr="00685408">
        <w:rPr>
          <w:rFonts w:ascii="Arial" w:hAnsi="Arial" w:cs="Arial"/>
          <w:sz w:val="24"/>
          <w:szCs w:val="24"/>
        </w:rPr>
        <w:t xml:space="preserve">It </w:t>
      </w:r>
      <w:r w:rsidR="00A12184" w:rsidRPr="00685408">
        <w:rPr>
          <w:rFonts w:ascii="Arial" w:hAnsi="Arial" w:cs="Arial"/>
          <w:sz w:val="24"/>
          <w:szCs w:val="24"/>
        </w:rPr>
        <w:t xml:space="preserve">also </w:t>
      </w:r>
      <w:r w:rsidRPr="00685408">
        <w:rPr>
          <w:rFonts w:ascii="Arial" w:hAnsi="Arial" w:cs="Arial"/>
          <w:sz w:val="24"/>
          <w:szCs w:val="24"/>
        </w:rPr>
        <w:t xml:space="preserve">includes administrative requirements for federal agencies and grant recipients, and </w:t>
      </w:r>
      <w:r w:rsidRPr="00685408">
        <w:rPr>
          <w:rFonts w:ascii="Arial" w:hAnsi="Arial" w:cs="Arial"/>
          <w:sz w:val="24"/>
          <w:szCs w:val="24"/>
          <w:u w:val="single"/>
        </w:rPr>
        <w:t>replaces 24 CFR Parts 84 and 85</w:t>
      </w:r>
      <w:r w:rsidRPr="00685408">
        <w:rPr>
          <w:rFonts w:ascii="Arial" w:hAnsi="Arial" w:cs="Arial"/>
          <w:sz w:val="24"/>
          <w:szCs w:val="24"/>
        </w:rPr>
        <w:t>.</w:t>
      </w:r>
      <w:r w:rsidR="00837E18" w:rsidRPr="00685408">
        <w:rPr>
          <w:rFonts w:ascii="Arial" w:hAnsi="Arial" w:cs="Arial"/>
          <w:sz w:val="24"/>
          <w:szCs w:val="24"/>
        </w:rPr>
        <w:t xml:space="preserve">  </w:t>
      </w:r>
    </w:p>
    <w:p w14:paraId="4E4400B7" w14:textId="2E297966" w:rsidR="00BC0763" w:rsidRPr="00685408" w:rsidRDefault="00D71FC0" w:rsidP="00BC0763">
      <w:pPr>
        <w:rPr>
          <w:rFonts w:ascii="Arial" w:hAnsi="Arial" w:cs="Arial"/>
          <w:sz w:val="24"/>
          <w:szCs w:val="24"/>
        </w:rPr>
      </w:pPr>
      <w:r w:rsidRPr="00685408">
        <w:rPr>
          <w:rFonts w:ascii="Arial" w:hAnsi="Arial" w:cs="Arial"/>
          <w:sz w:val="24"/>
          <w:szCs w:val="24"/>
        </w:rPr>
        <w:tab/>
      </w:r>
      <w:r w:rsidR="007C4756" w:rsidRPr="00685408">
        <w:rPr>
          <w:rFonts w:ascii="Arial" w:hAnsi="Arial" w:cs="Arial"/>
          <w:sz w:val="24"/>
          <w:szCs w:val="24"/>
        </w:rPr>
        <w:t xml:space="preserve">The purpose of this training is to assist </w:t>
      </w:r>
      <w:r w:rsidR="007924CE" w:rsidRPr="00685408">
        <w:rPr>
          <w:rFonts w:ascii="Arial" w:hAnsi="Arial" w:cs="Arial"/>
          <w:sz w:val="24"/>
          <w:szCs w:val="24"/>
        </w:rPr>
        <w:t>HUD/</w:t>
      </w:r>
      <w:r w:rsidR="007C4756" w:rsidRPr="00685408">
        <w:rPr>
          <w:rFonts w:ascii="Arial" w:hAnsi="Arial" w:cs="Arial"/>
          <w:sz w:val="24"/>
          <w:szCs w:val="24"/>
        </w:rPr>
        <w:t xml:space="preserve">ONAP program recipients in </w:t>
      </w:r>
      <w:r w:rsidR="0020131B" w:rsidRPr="00685408">
        <w:rPr>
          <w:rFonts w:ascii="Arial" w:hAnsi="Arial" w:cs="Arial"/>
          <w:sz w:val="24"/>
          <w:szCs w:val="24"/>
        </w:rPr>
        <w:t>identifying the</w:t>
      </w:r>
      <w:r w:rsidR="00715C6D" w:rsidRPr="00685408">
        <w:rPr>
          <w:rFonts w:ascii="Arial" w:hAnsi="Arial" w:cs="Arial"/>
          <w:sz w:val="24"/>
          <w:szCs w:val="24"/>
        </w:rPr>
        <w:t xml:space="preserve"> changes enacted by the new</w:t>
      </w:r>
      <w:r w:rsidR="00837E18" w:rsidRPr="00685408">
        <w:rPr>
          <w:rFonts w:ascii="Arial" w:hAnsi="Arial" w:cs="Arial"/>
          <w:sz w:val="24"/>
          <w:szCs w:val="24"/>
        </w:rPr>
        <w:t xml:space="preserve"> rule</w:t>
      </w:r>
      <w:r w:rsidR="00715C6D" w:rsidRPr="00685408">
        <w:rPr>
          <w:rFonts w:ascii="Arial" w:hAnsi="Arial" w:cs="Arial"/>
          <w:sz w:val="24"/>
          <w:szCs w:val="24"/>
        </w:rPr>
        <w:t xml:space="preserve"> and the applicable “exceptions” to 2 CFR </w:t>
      </w:r>
      <w:r w:rsidR="001C0672" w:rsidRPr="00FD1686">
        <w:rPr>
          <w:rFonts w:ascii="Arial" w:eastAsia="Times New Roman" w:hAnsi="Arial" w:cs="Arial"/>
          <w:sz w:val="24"/>
          <w:szCs w:val="24"/>
        </w:rPr>
        <w:t>§</w:t>
      </w:r>
      <w:r w:rsidR="00715C6D" w:rsidRPr="00685408">
        <w:rPr>
          <w:rFonts w:ascii="Arial" w:hAnsi="Arial" w:cs="Arial"/>
          <w:sz w:val="24"/>
          <w:szCs w:val="24"/>
        </w:rPr>
        <w:t xml:space="preserve">200 for the following HUD/ONAP regulations: 24 CFR </w:t>
      </w:r>
      <w:r w:rsidR="001C0672" w:rsidRPr="00FD1686">
        <w:rPr>
          <w:rFonts w:ascii="Arial" w:eastAsia="Times New Roman" w:hAnsi="Arial" w:cs="Arial"/>
          <w:sz w:val="24"/>
          <w:szCs w:val="24"/>
        </w:rPr>
        <w:t>§</w:t>
      </w:r>
      <w:r w:rsidR="00715C6D" w:rsidRPr="00685408">
        <w:rPr>
          <w:rFonts w:ascii="Arial" w:hAnsi="Arial" w:cs="Arial"/>
          <w:sz w:val="24"/>
          <w:szCs w:val="24"/>
        </w:rPr>
        <w:t xml:space="preserve">1000 (IHBG); 24 CFR </w:t>
      </w:r>
      <w:r w:rsidR="001C0672" w:rsidRPr="00FD1686">
        <w:rPr>
          <w:rFonts w:ascii="Arial" w:eastAsia="Times New Roman" w:hAnsi="Arial" w:cs="Arial"/>
          <w:sz w:val="24"/>
          <w:szCs w:val="24"/>
        </w:rPr>
        <w:t>§</w:t>
      </w:r>
      <w:r w:rsidR="00715C6D" w:rsidRPr="00685408">
        <w:rPr>
          <w:rFonts w:ascii="Arial" w:hAnsi="Arial" w:cs="Arial"/>
          <w:sz w:val="24"/>
          <w:szCs w:val="24"/>
        </w:rPr>
        <w:t xml:space="preserve">1003 (ICDBG); 24 CFR </w:t>
      </w:r>
      <w:r w:rsidR="001C0672" w:rsidRPr="00FD1686">
        <w:rPr>
          <w:rFonts w:ascii="Arial" w:eastAsia="Times New Roman" w:hAnsi="Arial" w:cs="Arial"/>
          <w:sz w:val="24"/>
          <w:szCs w:val="24"/>
        </w:rPr>
        <w:t>§</w:t>
      </w:r>
      <w:r w:rsidR="00715C6D" w:rsidRPr="00685408">
        <w:rPr>
          <w:rFonts w:ascii="Arial" w:hAnsi="Arial" w:cs="Arial"/>
          <w:sz w:val="24"/>
          <w:szCs w:val="24"/>
        </w:rPr>
        <w:t>1006 (NHHBG).</w:t>
      </w:r>
      <w:r w:rsidR="007E64BB" w:rsidRPr="00685408">
        <w:rPr>
          <w:rFonts w:ascii="Arial" w:hAnsi="Arial" w:cs="Arial"/>
          <w:sz w:val="24"/>
          <w:szCs w:val="24"/>
        </w:rPr>
        <w:t xml:space="preserve"> </w:t>
      </w:r>
      <w:r w:rsidR="00A12184" w:rsidRPr="00685408">
        <w:rPr>
          <w:rFonts w:ascii="Arial" w:hAnsi="Arial" w:cs="Arial"/>
          <w:sz w:val="24"/>
          <w:szCs w:val="24"/>
        </w:rPr>
        <w:t xml:space="preserve">To support tribes/TDHEs </w:t>
      </w:r>
      <w:r w:rsidR="007D7979">
        <w:rPr>
          <w:rFonts w:ascii="Arial" w:hAnsi="Arial" w:cs="Arial"/>
          <w:sz w:val="24"/>
          <w:szCs w:val="24"/>
        </w:rPr>
        <w:t xml:space="preserve">and DHHL </w:t>
      </w:r>
      <w:r w:rsidR="00A12184" w:rsidRPr="00685408">
        <w:rPr>
          <w:rFonts w:ascii="Arial" w:hAnsi="Arial" w:cs="Arial"/>
          <w:sz w:val="24"/>
          <w:szCs w:val="24"/>
        </w:rPr>
        <w:t xml:space="preserve">during the implementation stage, the training will emphasize the </w:t>
      </w:r>
      <w:r w:rsidR="007E64BB" w:rsidRPr="00685408">
        <w:rPr>
          <w:rFonts w:ascii="Arial" w:hAnsi="Arial" w:cs="Arial"/>
          <w:sz w:val="24"/>
          <w:szCs w:val="24"/>
        </w:rPr>
        <w:t>practical</w:t>
      </w:r>
      <w:r w:rsidR="00A12184" w:rsidRPr="00685408">
        <w:rPr>
          <w:rFonts w:ascii="Arial" w:hAnsi="Arial" w:cs="Arial"/>
          <w:sz w:val="24"/>
          <w:szCs w:val="24"/>
        </w:rPr>
        <w:t xml:space="preserve"> application of the</w:t>
      </w:r>
      <w:r w:rsidR="00837E18" w:rsidRPr="00685408">
        <w:rPr>
          <w:rFonts w:ascii="Arial" w:hAnsi="Arial" w:cs="Arial"/>
          <w:sz w:val="24"/>
          <w:szCs w:val="24"/>
        </w:rPr>
        <w:t xml:space="preserve"> Uniform Guidance</w:t>
      </w:r>
      <w:r w:rsidR="00A12184" w:rsidRPr="00685408">
        <w:rPr>
          <w:rFonts w:ascii="Arial" w:hAnsi="Arial" w:cs="Arial"/>
          <w:sz w:val="24"/>
          <w:szCs w:val="24"/>
        </w:rPr>
        <w:t xml:space="preserve"> and provide</w:t>
      </w:r>
      <w:r w:rsidR="007E64BB" w:rsidRPr="00685408">
        <w:rPr>
          <w:rFonts w:ascii="Arial" w:hAnsi="Arial" w:cs="Arial"/>
          <w:sz w:val="24"/>
          <w:szCs w:val="24"/>
        </w:rPr>
        <w:t xml:space="preserve"> resources and tools that recipients can utilize</w:t>
      </w:r>
      <w:r w:rsidR="00A12184" w:rsidRPr="00685408">
        <w:rPr>
          <w:rFonts w:ascii="Arial" w:hAnsi="Arial" w:cs="Arial"/>
          <w:sz w:val="24"/>
          <w:szCs w:val="24"/>
        </w:rPr>
        <w:t xml:space="preserve"> to identify</w:t>
      </w:r>
      <w:r w:rsidR="00837E18" w:rsidRPr="00685408">
        <w:rPr>
          <w:rFonts w:ascii="Arial" w:hAnsi="Arial" w:cs="Arial"/>
          <w:sz w:val="24"/>
          <w:szCs w:val="24"/>
        </w:rPr>
        <w:t xml:space="preserve"> </w:t>
      </w:r>
      <w:r w:rsidR="00CB5F93" w:rsidRPr="00685408">
        <w:rPr>
          <w:rFonts w:ascii="Arial" w:hAnsi="Arial" w:cs="Arial"/>
          <w:sz w:val="24"/>
          <w:szCs w:val="24"/>
        </w:rPr>
        <w:t xml:space="preserve">changes </w:t>
      </w:r>
      <w:r w:rsidR="00715C6D" w:rsidRPr="00685408">
        <w:rPr>
          <w:rFonts w:ascii="Arial" w:hAnsi="Arial" w:cs="Arial"/>
          <w:sz w:val="24"/>
          <w:szCs w:val="24"/>
        </w:rPr>
        <w:t xml:space="preserve">recipients must make </w:t>
      </w:r>
      <w:r w:rsidR="00CB5F93" w:rsidRPr="00685408">
        <w:rPr>
          <w:rFonts w:ascii="Arial" w:hAnsi="Arial" w:cs="Arial"/>
          <w:sz w:val="24"/>
          <w:szCs w:val="24"/>
        </w:rPr>
        <w:t xml:space="preserve">to their administrative and/or management systems (i.e. policies, operating procedures, and </w:t>
      </w:r>
      <w:r w:rsidR="007C4756" w:rsidRPr="00685408">
        <w:rPr>
          <w:rFonts w:ascii="Arial" w:hAnsi="Arial" w:cs="Arial"/>
          <w:sz w:val="24"/>
          <w:szCs w:val="24"/>
        </w:rPr>
        <w:t xml:space="preserve">other </w:t>
      </w:r>
      <w:r w:rsidR="00CB5F93" w:rsidRPr="00685408">
        <w:rPr>
          <w:rFonts w:ascii="Arial" w:hAnsi="Arial" w:cs="Arial"/>
          <w:sz w:val="24"/>
          <w:szCs w:val="24"/>
        </w:rPr>
        <w:t xml:space="preserve">internal control </w:t>
      </w:r>
      <w:r w:rsidR="00715C6D" w:rsidRPr="00685408">
        <w:rPr>
          <w:rFonts w:ascii="Arial" w:hAnsi="Arial" w:cs="Arial"/>
          <w:sz w:val="24"/>
          <w:szCs w:val="24"/>
        </w:rPr>
        <w:t>processes</w:t>
      </w:r>
      <w:r w:rsidR="00CB5F93" w:rsidRPr="00685408">
        <w:rPr>
          <w:rFonts w:ascii="Arial" w:hAnsi="Arial" w:cs="Arial"/>
          <w:sz w:val="24"/>
          <w:szCs w:val="24"/>
        </w:rPr>
        <w:t xml:space="preserve">) to ensure ongoing compliance with </w:t>
      </w:r>
      <w:r w:rsidR="00715C6D" w:rsidRPr="00685408">
        <w:rPr>
          <w:rFonts w:ascii="Arial" w:hAnsi="Arial" w:cs="Arial"/>
          <w:sz w:val="24"/>
          <w:szCs w:val="24"/>
        </w:rPr>
        <w:t>the new Uniform Guidance (</w:t>
      </w:r>
      <w:r w:rsidR="00CB5F93" w:rsidRPr="00685408">
        <w:rPr>
          <w:rFonts w:ascii="Arial" w:hAnsi="Arial" w:cs="Arial"/>
          <w:sz w:val="24"/>
          <w:szCs w:val="24"/>
        </w:rPr>
        <w:t>2 CFR</w:t>
      </w:r>
      <w:r w:rsidR="001C0672">
        <w:rPr>
          <w:rFonts w:ascii="Arial" w:hAnsi="Arial" w:cs="Arial"/>
          <w:sz w:val="24"/>
          <w:szCs w:val="24"/>
        </w:rPr>
        <w:t xml:space="preserve"> §</w:t>
      </w:r>
      <w:r w:rsidR="00CB5F93" w:rsidRPr="00685408">
        <w:rPr>
          <w:rFonts w:ascii="Arial" w:hAnsi="Arial" w:cs="Arial"/>
          <w:sz w:val="24"/>
          <w:szCs w:val="24"/>
        </w:rPr>
        <w:t>200</w:t>
      </w:r>
      <w:r w:rsidR="00715C6D" w:rsidRPr="00685408">
        <w:rPr>
          <w:rFonts w:ascii="Arial" w:hAnsi="Arial" w:cs="Arial"/>
          <w:sz w:val="24"/>
          <w:szCs w:val="24"/>
        </w:rPr>
        <w:t>)</w:t>
      </w:r>
      <w:r w:rsidR="00A95DB4" w:rsidRPr="00685408">
        <w:rPr>
          <w:rFonts w:ascii="Arial" w:hAnsi="Arial" w:cs="Arial"/>
          <w:sz w:val="24"/>
          <w:szCs w:val="24"/>
        </w:rPr>
        <w:t>.</w:t>
      </w:r>
    </w:p>
    <w:p w14:paraId="21DC43ED" w14:textId="77777777" w:rsidR="002C4D5C" w:rsidRPr="00685408" w:rsidRDefault="002C4D5C" w:rsidP="00685408">
      <w:pPr>
        <w:ind w:firstLine="720"/>
        <w:rPr>
          <w:rFonts w:ascii="Arial" w:hAnsi="Arial" w:cs="Arial"/>
          <w:sz w:val="24"/>
          <w:szCs w:val="24"/>
        </w:rPr>
      </w:pPr>
      <w:r w:rsidRPr="00685408">
        <w:rPr>
          <w:rFonts w:ascii="Arial" w:hAnsi="Arial" w:cs="Arial"/>
          <w:sz w:val="24"/>
          <w:szCs w:val="24"/>
        </w:rPr>
        <w:t>This training is targeted to the key management staff and/or decision makers of 369 ONAP Block Grant recipients, including but not limited to, Executive Directors, Housing Directors, Housing Managers, Tribal Leaders, Fiscal Officers, Finance Directors, Deputy Directors, Assistant Directors, Compliance Officers, Procurement Directors/Officers, Board of Commissioners and/or any other identified staff of the recipients who may be responsible for compliance with administrative requirements of the IHBG, ICDBG, or NHHBG programs.</w:t>
      </w:r>
    </w:p>
    <w:p w14:paraId="1A268D9A" w14:textId="77777777" w:rsidR="00BC0763" w:rsidRPr="00685408" w:rsidRDefault="00BC0763" w:rsidP="001F4F21">
      <w:pPr>
        <w:rPr>
          <w:rFonts w:ascii="Arial" w:hAnsi="Arial" w:cs="Arial"/>
          <w:b/>
          <w:sz w:val="28"/>
          <w:szCs w:val="28"/>
        </w:rPr>
      </w:pPr>
      <w:r w:rsidRPr="00685408">
        <w:rPr>
          <w:rFonts w:ascii="Arial" w:hAnsi="Arial" w:cs="Arial"/>
          <w:b/>
          <w:sz w:val="28"/>
          <w:szCs w:val="28"/>
        </w:rPr>
        <w:t>Learning Objectives</w:t>
      </w:r>
    </w:p>
    <w:p w14:paraId="541310C1" w14:textId="77777777" w:rsidR="000D5A5A" w:rsidRPr="00685408" w:rsidRDefault="000D5A5A" w:rsidP="00BC0763">
      <w:pPr>
        <w:rPr>
          <w:rFonts w:ascii="Arial" w:hAnsi="Arial" w:cs="Arial"/>
          <w:sz w:val="24"/>
          <w:szCs w:val="24"/>
        </w:rPr>
      </w:pPr>
      <w:r w:rsidRPr="00685408">
        <w:rPr>
          <w:rFonts w:ascii="Arial" w:hAnsi="Arial" w:cs="Arial"/>
          <w:sz w:val="24"/>
          <w:szCs w:val="24"/>
        </w:rPr>
        <w:t>After completing this training, participants will be able to:</w:t>
      </w:r>
    </w:p>
    <w:p w14:paraId="7A76A4B6" w14:textId="77777777" w:rsidR="005B7BFB" w:rsidRPr="00685408" w:rsidRDefault="005B7BFB" w:rsidP="005B7BFB">
      <w:pPr>
        <w:pStyle w:val="ListParagraph"/>
        <w:numPr>
          <w:ilvl w:val="0"/>
          <w:numId w:val="1"/>
        </w:numPr>
        <w:rPr>
          <w:rFonts w:ascii="Arial" w:hAnsi="Arial" w:cs="Arial"/>
          <w:sz w:val="24"/>
          <w:szCs w:val="24"/>
        </w:rPr>
      </w:pPr>
      <w:r w:rsidRPr="00685408">
        <w:rPr>
          <w:rFonts w:ascii="Arial" w:hAnsi="Arial" w:cs="Arial"/>
          <w:sz w:val="24"/>
          <w:szCs w:val="24"/>
        </w:rPr>
        <w:t xml:space="preserve">Explain </w:t>
      </w:r>
      <w:r w:rsidR="000D5A5A" w:rsidRPr="00685408">
        <w:rPr>
          <w:rFonts w:ascii="Arial" w:hAnsi="Arial" w:cs="Arial"/>
          <w:sz w:val="24"/>
          <w:szCs w:val="24"/>
        </w:rPr>
        <w:t>how and why the Uniform</w:t>
      </w:r>
      <w:r w:rsidR="0020131B" w:rsidRPr="00685408">
        <w:rPr>
          <w:rFonts w:ascii="Arial" w:hAnsi="Arial" w:cs="Arial"/>
          <w:sz w:val="24"/>
          <w:szCs w:val="24"/>
        </w:rPr>
        <w:t xml:space="preserve"> Guidance was consolidated into</w:t>
      </w:r>
      <w:r w:rsidRPr="00685408">
        <w:rPr>
          <w:rFonts w:ascii="Arial" w:hAnsi="Arial" w:cs="Arial"/>
          <w:sz w:val="24"/>
          <w:szCs w:val="24"/>
        </w:rPr>
        <w:t xml:space="preserve"> </w:t>
      </w:r>
      <w:r w:rsidR="000D5A5A" w:rsidRPr="00685408">
        <w:rPr>
          <w:rFonts w:ascii="Arial" w:hAnsi="Arial" w:cs="Arial"/>
          <w:sz w:val="24"/>
          <w:szCs w:val="24"/>
        </w:rPr>
        <w:t>one rule</w:t>
      </w:r>
    </w:p>
    <w:p w14:paraId="3499C9D6" w14:textId="77777777" w:rsidR="005B7BFB" w:rsidRPr="00685408" w:rsidRDefault="005B7BFB" w:rsidP="005B7BFB">
      <w:pPr>
        <w:pStyle w:val="ListParagraph"/>
        <w:numPr>
          <w:ilvl w:val="0"/>
          <w:numId w:val="1"/>
        </w:numPr>
        <w:rPr>
          <w:rFonts w:ascii="Arial" w:hAnsi="Arial" w:cs="Arial"/>
          <w:sz w:val="24"/>
          <w:szCs w:val="24"/>
        </w:rPr>
      </w:pPr>
      <w:r w:rsidRPr="00685408">
        <w:rPr>
          <w:rFonts w:ascii="Arial" w:hAnsi="Arial" w:cs="Arial"/>
          <w:sz w:val="24"/>
          <w:szCs w:val="24"/>
        </w:rPr>
        <w:t xml:space="preserve">Describe the required timeline for implementation of the new Uniform Guidance </w:t>
      </w:r>
      <w:r w:rsidR="00844F1E" w:rsidRPr="00685408">
        <w:rPr>
          <w:rFonts w:ascii="Arial" w:hAnsi="Arial" w:cs="Arial"/>
          <w:sz w:val="24"/>
          <w:szCs w:val="24"/>
        </w:rPr>
        <w:t xml:space="preserve">accounting for </w:t>
      </w:r>
      <w:r w:rsidRPr="00685408">
        <w:rPr>
          <w:rFonts w:ascii="Arial" w:hAnsi="Arial" w:cs="Arial"/>
          <w:sz w:val="24"/>
          <w:szCs w:val="24"/>
        </w:rPr>
        <w:t>applicable exceptions</w:t>
      </w:r>
    </w:p>
    <w:p w14:paraId="0AE0E9FE" w14:textId="436FD3D9" w:rsidR="00A95DB4" w:rsidRPr="00685408" w:rsidRDefault="005B7BFB" w:rsidP="005B7BFB">
      <w:pPr>
        <w:pStyle w:val="ListParagraph"/>
        <w:numPr>
          <w:ilvl w:val="0"/>
          <w:numId w:val="1"/>
        </w:numPr>
        <w:rPr>
          <w:rFonts w:ascii="Arial" w:hAnsi="Arial" w:cs="Arial"/>
          <w:sz w:val="24"/>
          <w:szCs w:val="24"/>
        </w:rPr>
      </w:pPr>
      <w:r w:rsidRPr="00685408">
        <w:rPr>
          <w:rFonts w:ascii="Arial" w:hAnsi="Arial" w:cs="Arial"/>
          <w:sz w:val="24"/>
          <w:szCs w:val="24"/>
        </w:rPr>
        <w:t xml:space="preserve">Navigate the Uniform Guidance (2 CFR </w:t>
      </w:r>
      <w:r w:rsidR="001C0672">
        <w:rPr>
          <w:rFonts w:ascii="Arial" w:hAnsi="Arial" w:cs="Arial"/>
          <w:sz w:val="24"/>
          <w:szCs w:val="24"/>
        </w:rPr>
        <w:t>§</w:t>
      </w:r>
      <w:r w:rsidRPr="00685408">
        <w:rPr>
          <w:rFonts w:ascii="Arial" w:hAnsi="Arial" w:cs="Arial"/>
          <w:sz w:val="24"/>
          <w:szCs w:val="24"/>
        </w:rPr>
        <w:t xml:space="preserve">200) document, and demonstrate proficiency in locating specific information </w:t>
      </w:r>
    </w:p>
    <w:p w14:paraId="717D612E" w14:textId="77777777" w:rsidR="009B7575" w:rsidRPr="00685408" w:rsidRDefault="009B7575" w:rsidP="00BC0763">
      <w:pPr>
        <w:pStyle w:val="ListParagraph"/>
        <w:numPr>
          <w:ilvl w:val="0"/>
          <w:numId w:val="1"/>
        </w:numPr>
        <w:rPr>
          <w:rFonts w:ascii="Arial" w:hAnsi="Arial" w:cs="Arial"/>
          <w:sz w:val="24"/>
          <w:szCs w:val="24"/>
        </w:rPr>
      </w:pPr>
      <w:r w:rsidRPr="00685408">
        <w:rPr>
          <w:rFonts w:ascii="Arial" w:hAnsi="Arial" w:cs="Arial"/>
          <w:sz w:val="24"/>
          <w:szCs w:val="24"/>
        </w:rPr>
        <w:t>Utilize various</w:t>
      </w:r>
      <w:r w:rsidR="000D5A5A" w:rsidRPr="00685408">
        <w:rPr>
          <w:rFonts w:ascii="Arial" w:hAnsi="Arial" w:cs="Arial"/>
          <w:sz w:val="24"/>
          <w:szCs w:val="24"/>
        </w:rPr>
        <w:t xml:space="preserve"> assessment tools</w:t>
      </w:r>
      <w:r w:rsidRPr="00685408">
        <w:rPr>
          <w:rFonts w:ascii="Arial" w:hAnsi="Arial" w:cs="Arial"/>
          <w:sz w:val="24"/>
          <w:szCs w:val="24"/>
        </w:rPr>
        <w:t xml:space="preserve"> and aids to </w:t>
      </w:r>
      <w:r w:rsidR="000D5A5A" w:rsidRPr="00685408">
        <w:rPr>
          <w:rFonts w:ascii="Arial" w:hAnsi="Arial" w:cs="Arial"/>
          <w:sz w:val="24"/>
          <w:szCs w:val="24"/>
        </w:rPr>
        <w:t>evaluate</w:t>
      </w:r>
      <w:r w:rsidR="008A5F9E" w:rsidRPr="00685408">
        <w:rPr>
          <w:rFonts w:ascii="Arial" w:hAnsi="Arial" w:cs="Arial"/>
          <w:sz w:val="24"/>
          <w:szCs w:val="24"/>
        </w:rPr>
        <w:t xml:space="preserve"> compliance with the required standard</w:t>
      </w:r>
      <w:r w:rsidRPr="00685408">
        <w:rPr>
          <w:rFonts w:ascii="Arial" w:hAnsi="Arial" w:cs="Arial"/>
          <w:sz w:val="24"/>
          <w:szCs w:val="24"/>
        </w:rPr>
        <w:t>s</w:t>
      </w:r>
      <w:r w:rsidR="008A5F9E" w:rsidRPr="00685408">
        <w:rPr>
          <w:rFonts w:ascii="Arial" w:hAnsi="Arial" w:cs="Arial"/>
          <w:sz w:val="24"/>
          <w:szCs w:val="24"/>
        </w:rPr>
        <w:t xml:space="preserve"> </w:t>
      </w:r>
      <w:r w:rsidRPr="00685408">
        <w:rPr>
          <w:rFonts w:ascii="Arial" w:hAnsi="Arial" w:cs="Arial"/>
          <w:sz w:val="24"/>
          <w:szCs w:val="24"/>
        </w:rPr>
        <w:t xml:space="preserve">and applicable exceptions </w:t>
      </w:r>
      <w:r w:rsidR="008A5F9E" w:rsidRPr="00685408">
        <w:rPr>
          <w:rFonts w:ascii="Arial" w:hAnsi="Arial" w:cs="Arial"/>
          <w:sz w:val="24"/>
          <w:szCs w:val="24"/>
        </w:rPr>
        <w:t>of the Uniform Guidance</w:t>
      </w:r>
      <w:r w:rsidRPr="00685408">
        <w:rPr>
          <w:rFonts w:ascii="Arial" w:hAnsi="Arial" w:cs="Arial"/>
          <w:sz w:val="24"/>
          <w:szCs w:val="24"/>
        </w:rPr>
        <w:t xml:space="preserve">. </w:t>
      </w:r>
    </w:p>
    <w:p w14:paraId="72060C7B" w14:textId="77777777" w:rsidR="00844F1E" w:rsidRPr="00685408" w:rsidRDefault="00844F1E" w:rsidP="00844F1E">
      <w:pPr>
        <w:pStyle w:val="ListParagraph"/>
        <w:numPr>
          <w:ilvl w:val="0"/>
          <w:numId w:val="1"/>
        </w:numPr>
        <w:rPr>
          <w:rFonts w:ascii="Arial" w:hAnsi="Arial" w:cs="Arial"/>
          <w:sz w:val="24"/>
          <w:szCs w:val="24"/>
        </w:rPr>
      </w:pPr>
      <w:r w:rsidRPr="00685408">
        <w:rPr>
          <w:rFonts w:ascii="Arial" w:hAnsi="Arial" w:cs="Arial"/>
          <w:sz w:val="24"/>
          <w:szCs w:val="24"/>
        </w:rPr>
        <w:t>Correctly interpret and apply the meaning of “should” vs. “must” when evaluating compliance requirements</w:t>
      </w:r>
    </w:p>
    <w:p w14:paraId="6D19C4BD" w14:textId="77777777" w:rsidR="00010793" w:rsidRPr="00685408" w:rsidRDefault="009B7575" w:rsidP="00BC0763">
      <w:pPr>
        <w:pStyle w:val="ListParagraph"/>
        <w:numPr>
          <w:ilvl w:val="0"/>
          <w:numId w:val="1"/>
        </w:numPr>
        <w:rPr>
          <w:rFonts w:ascii="Arial" w:hAnsi="Arial" w:cs="Arial"/>
          <w:sz w:val="24"/>
          <w:szCs w:val="24"/>
        </w:rPr>
      </w:pPr>
      <w:r w:rsidRPr="00685408">
        <w:rPr>
          <w:rFonts w:ascii="Arial" w:hAnsi="Arial" w:cs="Arial"/>
          <w:sz w:val="24"/>
          <w:szCs w:val="24"/>
        </w:rPr>
        <w:lastRenderedPageBreak/>
        <w:t xml:space="preserve">Articulate a basic understanding of the </w:t>
      </w:r>
      <w:r w:rsidR="00901701" w:rsidRPr="00685408">
        <w:rPr>
          <w:rFonts w:ascii="Arial" w:hAnsi="Arial" w:cs="Arial"/>
          <w:sz w:val="24"/>
          <w:szCs w:val="24"/>
        </w:rPr>
        <w:t xml:space="preserve">five </w:t>
      </w:r>
      <w:r w:rsidR="00BC0763" w:rsidRPr="00685408">
        <w:rPr>
          <w:rFonts w:ascii="Arial" w:hAnsi="Arial" w:cs="Arial"/>
          <w:sz w:val="24"/>
          <w:szCs w:val="24"/>
        </w:rPr>
        <w:t xml:space="preserve">components </w:t>
      </w:r>
      <w:r w:rsidRPr="00685408">
        <w:rPr>
          <w:rFonts w:ascii="Arial" w:hAnsi="Arial" w:cs="Arial"/>
          <w:sz w:val="24"/>
          <w:szCs w:val="24"/>
        </w:rPr>
        <w:t xml:space="preserve">of </w:t>
      </w:r>
      <w:r w:rsidR="008158AA" w:rsidRPr="00685408">
        <w:rPr>
          <w:rFonts w:ascii="Arial" w:hAnsi="Arial" w:cs="Arial"/>
          <w:sz w:val="24"/>
          <w:szCs w:val="24"/>
        </w:rPr>
        <w:t xml:space="preserve">the </w:t>
      </w:r>
      <w:r w:rsidR="007D7979">
        <w:rPr>
          <w:rFonts w:ascii="Arial" w:hAnsi="Arial" w:cs="Arial"/>
          <w:sz w:val="24"/>
          <w:szCs w:val="24"/>
        </w:rPr>
        <w:t>Committee of Sponsoring Organizations of the Treadway Commission (</w:t>
      </w:r>
      <w:r w:rsidR="008158AA" w:rsidRPr="00685408">
        <w:rPr>
          <w:rFonts w:ascii="Arial" w:hAnsi="Arial" w:cs="Arial"/>
          <w:sz w:val="24"/>
          <w:szCs w:val="24"/>
        </w:rPr>
        <w:t>COSO</w:t>
      </w:r>
      <w:r w:rsidR="007D7979">
        <w:rPr>
          <w:rFonts w:ascii="Arial" w:hAnsi="Arial" w:cs="Arial"/>
          <w:sz w:val="24"/>
          <w:szCs w:val="24"/>
        </w:rPr>
        <w:t>)</w:t>
      </w:r>
      <w:r w:rsidR="00BC0763" w:rsidRPr="00685408">
        <w:rPr>
          <w:rFonts w:ascii="Arial" w:hAnsi="Arial" w:cs="Arial"/>
          <w:sz w:val="24"/>
          <w:szCs w:val="24"/>
        </w:rPr>
        <w:t xml:space="preserve"> comprehensive framework of internal control</w:t>
      </w:r>
      <w:r w:rsidRPr="00685408">
        <w:rPr>
          <w:rFonts w:ascii="Arial" w:hAnsi="Arial" w:cs="Arial"/>
          <w:sz w:val="24"/>
          <w:szCs w:val="24"/>
        </w:rPr>
        <w:t>s</w:t>
      </w:r>
      <w:r w:rsidR="00BC0763" w:rsidRPr="00685408">
        <w:rPr>
          <w:rFonts w:ascii="Arial" w:hAnsi="Arial" w:cs="Arial"/>
          <w:sz w:val="24"/>
          <w:szCs w:val="24"/>
        </w:rPr>
        <w:t xml:space="preserve"> </w:t>
      </w:r>
      <w:r w:rsidR="00844F1E" w:rsidRPr="00685408">
        <w:rPr>
          <w:rFonts w:ascii="Arial" w:hAnsi="Arial" w:cs="Arial"/>
          <w:sz w:val="24"/>
          <w:szCs w:val="24"/>
        </w:rPr>
        <w:t xml:space="preserve">and how to apply them </w:t>
      </w:r>
      <w:r w:rsidR="00C33101" w:rsidRPr="00685408">
        <w:rPr>
          <w:rFonts w:ascii="Arial" w:hAnsi="Arial" w:cs="Arial"/>
          <w:sz w:val="24"/>
          <w:szCs w:val="24"/>
        </w:rPr>
        <w:t xml:space="preserve">to improve </w:t>
      </w:r>
      <w:r w:rsidR="00844F1E" w:rsidRPr="00685408">
        <w:rPr>
          <w:rFonts w:ascii="Arial" w:hAnsi="Arial" w:cs="Arial"/>
          <w:sz w:val="24"/>
          <w:szCs w:val="24"/>
        </w:rPr>
        <w:t>management systems</w:t>
      </w:r>
    </w:p>
    <w:p w14:paraId="109D82D2" w14:textId="2699589B" w:rsidR="006320AC" w:rsidRPr="00685408" w:rsidRDefault="001F4F21" w:rsidP="007924CE">
      <w:pPr>
        <w:pStyle w:val="ListParagraph"/>
        <w:numPr>
          <w:ilvl w:val="0"/>
          <w:numId w:val="1"/>
        </w:numPr>
        <w:rPr>
          <w:rFonts w:ascii="Arial" w:hAnsi="Arial" w:cs="Arial"/>
          <w:sz w:val="24"/>
          <w:szCs w:val="24"/>
        </w:rPr>
      </w:pPr>
      <w:r w:rsidRPr="00685408">
        <w:rPr>
          <w:rFonts w:ascii="Arial" w:hAnsi="Arial" w:cs="Arial"/>
          <w:sz w:val="24"/>
          <w:szCs w:val="24"/>
        </w:rPr>
        <w:t>Reference and a</w:t>
      </w:r>
      <w:r w:rsidR="007924CE" w:rsidRPr="00685408">
        <w:rPr>
          <w:rFonts w:ascii="Arial" w:hAnsi="Arial" w:cs="Arial"/>
          <w:sz w:val="24"/>
          <w:szCs w:val="24"/>
        </w:rPr>
        <w:t xml:space="preserve">nalyze </w:t>
      </w:r>
      <w:r w:rsidR="001C0672">
        <w:rPr>
          <w:rFonts w:ascii="Arial" w:hAnsi="Arial" w:cs="Arial"/>
          <w:sz w:val="24"/>
          <w:szCs w:val="24"/>
        </w:rPr>
        <w:t>Part E of 2 CFR §</w:t>
      </w:r>
      <w:r w:rsidRPr="00685408">
        <w:rPr>
          <w:rFonts w:ascii="Arial" w:hAnsi="Arial" w:cs="Arial"/>
          <w:sz w:val="24"/>
          <w:szCs w:val="24"/>
        </w:rPr>
        <w:t xml:space="preserve">200 (and applicable exceptions) </w:t>
      </w:r>
      <w:r w:rsidR="007924CE" w:rsidRPr="00685408">
        <w:rPr>
          <w:rFonts w:ascii="Arial" w:hAnsi="Arial" w:cs="Arial"/>
          <w:sz w:val="24"/>
          <w:szCs w:val="24"/>
        </w:rPr>
        <w:t xml:space="preserve">to determine the </w:t>
      </w:r>
      <w:r w:rsidR="007924CE" w:rsidRPr="00685408">
        <w:rPr>
          <w:rFonts w:ascii="Arial" w:hAnsi="Arial" w:cs="Arial"/>
          <w:i/>
          <w:sz w:val="24"/>
          <w:szCs w:val="24"/>
        </w:rPr>
        <w:t>allocability</w:t>
      </w:r>
      <w:r w:rsidR="007924CE" w:rsidRPr="00685408">
        <w:rPr>
          <w:rFonts w:ascii="Arial" w:hAnsi="Arial" w:cs="Arial"/>
          <w:sz w:val="24"/>
          <w:szCs w:val="24"/>
        </w:rPr>
        <w:t xml:space="preserve"> and </w:t>
      </w:r>
      <w:r w:rsidR="007924CE" w:rsidRPr="00685408">
        <w:rPr>
          <w:rFonts w:ascii="Arial" w:hAnsi="Arial" w:cs="Arial"/>
          <w:i/>
          <w:sz w:val="24"/>
          <w:szCs w:val="24"/>
        </w:rPr>
        <w:t>allowability</w:t>
      </w:r>
      <w:r w:rsidR="007924CE" w:rsidRPr="00685408">
        <w:rPr>
          <w:rFonts w:ascii="Arial" w:hAnsi="Arial" w:cs="Arial"/>
          <w:sz w:val="24"/>
          <w:szCs w:val="24"/>
        </w:rPr>
        <w:t xml:space="preserve"> of costs  </w:t>
      </w:r>
    </w:p>
    <w:p w14:paraId="05B06505" w14:textId="4C4CA838" w:rsidR="00901701" w:rsidRPr="00685408" w:rsidRDefault="00901701" w:rsidP="001B6BD3">
      <w:pPr>
        <w:pStyle w:val="ListParagraph"/>
        <w:numPr>
          <w:ilvl w:val="0"/>
          <w:numId w:val="1"/>
        </w:numPr>
        <w:rPr>
          <w:rFonts w:ascii="Arial" w:hAnsi="Arial" w:cs="Arial"/>
          <w:sz w:val="24"/>
          <w:szCs w:val="24"/>
        </w:rPr>
      </w:pPr>
      <w:r w:rsidRPr="00685408">
        <w:rPr>
          <w:rFonts w:ascii="Arial" w:hAnsi="Arial" w:cs="Arial"/>
          <w:sz w:val="24"/>
          <w:szCs w:val="24"/>
        </w:rPr>
        <w:t xml:space="preserve">Locate and </w:t>
      </w:r>
      <w:r w:rsidR="001B6BD3">
        <w:rPr>
          <w:rFonts w:ascii="Arial" w:hAnsi="Arial" w:cs="Arial"/>
          <w:sz w:val="24"/>
          <w:szCs w:val="24"/>
        </w:rPr>
        <w:t xml:space="preserve">analyze </w:t>
      </w:r>
      <w:r w:rsidRPr="00685408">
        <w:rPr>
          <w:rFonts w:ascii="Arial" w:hAnsi="Arial" w:cs="Arial"/>
          <w:sz w:val="24"/>
          <w:szCs w:val="24"/>
        </w:rPr>
        <w:t xml:space="preserve">specific provisions of the Uniform Guidance to </w:t>
      </w:r>
      <w:r w:rsidR="001B6BD3">
        <w:rPr>
          <w:rFonts w:ascii="Arial" w:hAnsi="Arial" w:cs="Arial"/>
          <w:sz w:val="24"/>
          <w:szCs w:val="24"/>
        </w:rPr>
        <w:t xml:space="preserve">evaluate the </w:t>
      </w:r>
      <w:r w:rsidR="001B6BD3" w:rsidRPr="001B6BD3">
        <w:rPr>
          <w:rFonts w:ascii="Arial" w:hAnsi="Arial" w:cs="Arial"/>
          <w:sz w:val="24"/>
          <w:szCs w:val="24"/>
        </w:rPr>
        <w:t>implications of change</w:t>
      </w:r>
      <w:r w:rsidR="001B6BD3">
        <w:rPr>
          <w:rFonts w:ascii="Arial" w:hAnsi="Arial" w:cs="Arial"/>
          <w:sz w:val="24"/>
          <w:szCs w:val="24"/>
        </w:rPr>
        <w:t>s enacted by the new Uniform Guidance</w:t>
      </w:r>
      <w:r w:rsidR="004C08DA">
        <w:rPr>
          <w:rFonts w:ascii="Arial" w:hAnsi="Arial" w:cs="Arial"/>
          <w:sz w:val="24"/>
          <w:szCs w:val="24"/>
        </w:rPr>
        <w:t>.</w:t>
      </w:r>
    </w:p>
    <w:p w14:paraId="5B20232B" w14:textId="77777777" w:rsidR="008A5F9E" w:rsidRPr="00685408" w:rsidRDefault="008A5F9E" w:rsidP="00901701">
      <w:pPr>
        <w:pStyle w:val="ListParagraph"/>
        <w:rPr>
          <w:rFonts w:ascii="Arial" w:hAnsi="Arial" w:cs="Arial"/>
          <w:sz w:val="24"/>
          <w:szCs w:val="24"/>
        </w:rPr>
      </w:pPr>
    </w:p>
    <w:p w14:paraId="7AF204DB" w14:textId="77777777" w:rsidR="001F4F21" w:rsidRPr="00685408" w:rsidRDefault="001F4F21" w:rsidP="00685408">
      <w:pPr>
        <w:ind w:left="720"/>
        <w:contextualSpacing/>
        <w:rPr>
          <w:rFonts w:ascii="Arial" w:hAnsi="Arial" w:cs="Arial"/>
          <w:sz w:val="24"/>
          <w:szCs w:val="24"/>
        </w:rPr>
      </w:pPr>
    </w:p>
    <w:sectPr w:rsidR="001F4F21" w:rsidRPr="00685408" w:rsidSect="00926479">
      <w:headerReference w:type="default" r:id="rId9"/>
      <w:footerReference w:type="default" r:id="rId10"/>
      <w:pgSz w:w="12240" w:h="15840"/>
      <w:pgMar w:top="1080" w:right="1440" w:bottom="1440" w:left="1440" w:header="720" w:footer="720" w:gutter="0"/>
      <w:pgNumType w:fmt="lowerRoman"/>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136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728DD" w14:textId="77777777" w:rsidR="00976F8D" w:rsidRDefault="00976F8D" w:rsidP="008158AA">
      <w:pPr>
        <w:spacing w:after="0" w:line="240" w:lineRule="auto"/>
      </w:pPr>
      <w:r>
        <w:separator/>
      </w:r>
    </w:p>
  </w:endnote>
  <w:endnote w:type="continuationSeparator" w:id="0">
    <w:p w14:paraId="270D0ED0" w14:textId="77777777" w:rsidR="00976F8D" w:rsidRDefault="00976F8D" w:rsidP="0081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54473"/>
      <w:docPartObj>
        <w:docPartGallery w:val="Page Numbers (Bottom of Page)"/>
        <w:docPartUnique/>
      </w:docPartObj>
    </w:sdtPr>
    <w:sdtEndPr>
      <w:rPr>
        <w:noProof/>
      </w:rPr>
    </w:sdtEndPr>
    <w:sdtContent>
      <w:p w14:paraId="34565375" w14:textId="77777777" w:rsidR="00926479" w:rsidRDefault="00926479">
        <w:pPr>
          <w:pStyle w:val="Footer"/>
          <w:jc w:val="center"/>
        </w:pPr>
        <w:r>
          <w:fldChar w:fldCharType="begin"/>
        </w:r>
        <w:r>
          <w:instrText xml:space="preserve"> PAGE   \* MERGEFORMAT </w:instrText>
        </w:r>
        <w:r>
          <w:fldChar w:fldCharType="separate"/>
        </w:r>
        <w:r w:rsidR="004C08DA">
          <w:rPr>
            <w:noProof/>
          </w:rPr>
          <w:t>i</w:t>
        </w:r>
        <w:r>
          <w:rPr>
            <w:noProof/>
          </w:rPr>
          <w:fldChar w:fldCharType="end"/>
        </w:r>
      </w:p>
    </w:sdtContent>
  </w:sdt>
  <w:p w14:paraId="6ECC8C1D" w14:textId="77777777" w:rsidR="00926479" w:rsidRDefault="0092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778A3" w14:textId="77777777" w:rsidR="00976F8D" w:rsidRDefault="00976F8D" w:rsidP="008158AA">
      <w:pPr>
        <w:spacing w:after="0" w:line="240" w:lineRule="auto"/>
      </w:pPr>
      <w:r>
        <w:separator/>
      </w:r>
    </w:p>
  </w:footnote>
  <w:footnote w:type="continuationSeparator" w:id="0">
    <w:p w14:paraId="314F80E6" w14:textId="77777777" w:rsidR="00976F8D" w:rsidRDefault="00976F8D" w:rsidP="00815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1AD5B" w14:textId="77777777" w:rsidR="008158AA" w:rsidRPr="008158AA" w:rsidRDefault="008158AA" w:rsidP="008158AA">
    <w:pPr>
      <w:pStyle w:val="Header"/>
    </w:pPr>
  </w:p>
  <w:p w14:paraId="1734511B" w14:textId="77777777" w:rsidR="008158AA" w:rsidRPr="008158AA" w:rsidRDefault="008158AA" w:rsidP="00815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D57BF"/>
    <w:multiLevelType w:val="hybridMultilevel"/>
    <w:tmpl w:val="06E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8476A"/>
    <w:multiLevelType w:val="hybridMultilevel"/>
    <w:tmpl w:val="F942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Anderson">
    <w15:presenceInfo w15:providerId="Windows Live" w15:userId="2d91d83741d005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93"/>
    <w:rsid w:val="00010793"/>
    <w:rsid w:val="000B421F"/>
    <w:rsid w:val="000D5A5A"/>
    <w:rsid w:val="000F5E05"/>
    <w:rsid w:val="00150F09"/>
    <w:rsid w:val="001B6BD3"/>
    <w:rsid w:val="001C0672"/>
    <w:rsid w:val="001E0071"/>
    <w:rsid w:val="001F4296"/>
    <w:rsid w:val="001F4F21"/>
    <w:rsid w:val="0020131B"/>
    <w:rsid w:val="002B7B27"/>
    <w:rsid w:val="002C4D5C"/>
    <w:rsid w:val="003B7FFD"/>
    <w:rsid w:val="004C08DA"/>
    <w:rsid w:val="004C151B"/>
    <w:rsid w:val="0056383E"/>
    <w:rsid w:val="005B7BFB"/>
    <w:rsid w:val="005C2321"/>
    <w:rsid w:val="005C63C4"/>
    <w:rsid w:val="005D57C9"/>
    <w:rsid w:val="005E076B"/>
    <w:rsid w:val="006320AC"/>
    <w:rsid w:val="00663630"/>
    <w:rsid w:val="00685408"/>
    <w:rsid w:val="00715C6D"/>
    <w:rsid w:val="007611C1"/>
    <w:rsid w:val="007924CE"/>
    <w:rsid w:val="007C4756"/>
    <w:rsid w:val="007D7979"/>
    <w:rsid w:val="007E64BB"/>
    <w:rsid w:val="008158AA"/>
    <w:rsid w:val="00837E18"/>
    <w:rsid w:val="00844F1E"/>
    <w:rsid w:val="008A5F9E"/>
    <w:rsid w:val="008C7CAB"/>
    <w:rsid w:val="008E4A8D"/>
    <w:rsid w:val="00901701"/>
    <w:rsid w:val="00926479"/>
    <w:rsid w:val="00976F8D"/>
    <w:rsid w:val="009B7575"/>
    <w:rsid w:val="00A12184"/>
    <w:rsid w:val="00A31EB6"/>
    <w:rsid w:val="00A76349"/>
    <w:rsid w:val="00A95DB4"/>
    <w:rsid w:val="00AC1F91"/>
    <w:rsid w:val="00AF144B"/>
    <w:rsid w:val="00BC0763"/>
    <w:rsid w:val="00C33101"/>
    <w:rsid w:val="00CB5F93"/>
    <w:rsid w:val="00D60A2C"/>
    <w:rsid w:val="00D71FC0"/>
    <w:rsid w:val="00EB01A2"/>
    <w:rsid w:val="00F158C1"/>
    <w:rsid w:val="00F9510E"/>
    <w:rsid w:val="00FB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8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63"/>
    <w:pPr>
      <w:ind w:left="720"/>
      <w:contextualSpacing/>
    </w:pPr>
  </w:style>
  <w:style w:type="paragraph" w:styleId="Header">
    <w:name w:val="header"/>
    <w:basedOn w:val="Normal"/>
    <w:link w:val="HeaderChar"/>
    <w:uiPriority w:val="99"/>
    <w:unhideWhenUsed/>
    <w:rsid w:val="0081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AA"/>
  </w:style>
  <w:style w:type="paragraph" w:styleId="Footer">
    <w:name w:val="footer"/>
    <w:basedOn w:val="Normal"/>
    <w:link w:val="FooterChar"/>
    <w:uiPriority w:val="99"/>
    <w:unhideWhenUsed/>
    <w:rsid w:val="0081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AA"/>
  </w:style>
  <w:style w:type="paragraph" w:styleId="BalloonText">
    <w:name w:val="Balloon Text"/>
    <w:basedOn w:val="Normal"/>
    <w:link w:val="BalloonTextChar"/>
    <w:uiPriority w:val="99"/>
    <w:semiHidden/>
    <w:unhideWhenUsed/>
    <w:rsid w:val="005C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C4"/>
    <w:rPr>
      <w:rFonts w:ascii="Tahoma" w:hAnsi="Tahoma" w:cs="Tahoma"/>
      <w:sz w:val="16"/>
      <w:szCs w:val="16"/>
    </w:rPr>
  </w:style>
  <w:style w:type="character" w:styleId="CommentReference">
    <w:name w:val="annotation reference"/>
    <w:basedOn w:val="DefaultParagraphFont"/>
    <w:uiPriority w:val="99"/>
    <w:semiHidden/>
    <w:unhideWhenUsed/>
    <w:rsid w:val="00EB01A2"/>
    <w:rPr>
      <w:sz w:val="16"/>
      <w:szCs w:val="16"/>
    </w:rPr>
  </w:style>
  <w:style w:type="paragraph" w:styleId="CommentText">
    <w:name w:val="annotation text"/>
    <w:basedOn w:val="Normal"/>
    <w:link w:val="CommentTextChar"/>
    <w:uiPriority w:val="99"/>
    <w:semiHidden/>
    <w:unhideWhenUsed/>
    <w:rsid w:val="00EB01A2"/>
    <w:pPr>
      <w:spacing w:line="240" w:lineRule="auto"/>
    </w:pPr>
    <w:rPr>
      <w:sz w:val="20"/>
      <w:szCs w:val="20"/>
    </w:rPr>
  </w:style>
  <w:style w:type="character" w:customStyle="1" w:styleId="CommentTextChar">
    <w:name w:val="Comment Text Char"/>
    <w:basedOn w:val="DefaultParagraphFont"/>
    <w:link w:val="CommentText"/>
    <w:uiPriority w:val="99"/>
    <w:semiHidden/>
    <w:rsid w:val="00EB01A2"/>
    <w:rPr>
      <w:sz w:val="20"/>
      <w:szCs w:val="20"/>
    </w:rPr>
  </w:style>
  <w:style w:type="paragraph" w:styleId="CommentSubject">
    <w:name w:val="annotation subject"/>
    <w:basedOn w:val="CommentText"/>
    <w:next w:val="CommentText"/>
    <w:link w:val="CommentSubjectChar"/>
    <w:uiPriority w:val="99"/>
    <w:semiHidden/>
    <w:unhideWhenUsed/>
    <w:rsid w:val="00EB01A2"/>
    <w:rPr>
      <w:b/>
      <w:bCs/>
    </w:rPr>
  </w:style>
  <w:style w:type="character" w:customStyle="1" w:styleId="CommentSubjectChar">
    <w:name w:val="Comment Subject Char"/>
    <w:basedOn w:val="CommentTextChar"/>
    <w:link w:val="CommentSubject"/>
    <w:uiPriority w:val="99"/>
    <w:semiHidden/>
    <w:rsid w:val="00EB01A2"/>
    <w:rPr>
      <w:b/>
      <w:bCs/>
      <w:sz w:val="20"/>
      <w:szCs w:val="20"/>
    </w:rPr>
  </w:style>
  <w:style w:type="paragraph" w:styleId="Revision">
    <w:name w:val="Revision"/>
    <w:hidden/>
    <w:uiPriority w:val="99"/>
    <w:semiHidden/>
    <w:rsid w:val="001F4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63"/>
    <w:pPr>
      <w:ind w:left="720"/>
      <w:contextualSpacing/>
    </w:pPr>
  </w:style>
  <w:style w:type="paragraph" w:styleId="Header">
    <w:name w:val="header"/>
    <w:basedOn w:val="Normal"/>
    <w:link w:val="HeaderChar"/>
    <w:uiPriority w:val="99"/>
    <w:unhideWhenUsed/>
    <w:rsid w:val="0081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AA"/>
  </w:style>
  <w:style w:type="paragraph" w:styleId="Footer">
    <w:name w:val="footer"/>
    <w:basedOn w:val="Normal"/>
    <w:link w:val="FooterChar"/>
    <w:uiPriority w:val="99"/>
    <w:unhideWhenUsed/>
    <w:rsid w:val="0081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AA"/>
  </w:style>
  <w:style w:type="paragraph" w:styleId="BalloonText">
    <w:name w:val="Balloon Text"/>
    <w:basedOn w:val="Normal"/>
    <w:link w:val="BalloonTextChar"/>
    <w:uiPriority w:val="99"/>
    <w:semiHidden/>
    <w:unhideWhenUsed/>
    <w:rsid w:val="005C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C4"/>
    <w:rPr>
      <w:rFonts w:ascii="Tahoma" w:hAnsi="Tahoma" w:cs="Tahoma"/>
      <w:sz w:val="16"/>
      <w:szCs w:val="16"/>
    </w:rPr>
  </w:style>
  <w:style w:type="character" w:styleId="CommentReference">
    <w:name w:val="annotation reference"/>
    <w:basedOn w:val="DefaultParagraphFont"/>
    <w:uiPriority w:val="99"/>
    <w:semiHidden/>
    <w:unhideWhenUsed/>
    <w:rsid w:val="00EB01A2"/>
    <w:rPr>
      <w:sz w:val="16"/>
      <w:szCs w:val="16"/>
    </w:rPr>
  </w:style>
  <w:style w:type="paragraph" w:styleId="CommentText">
    <w:name w:val="annotation text"/>
    <w:basedOn w:val="Normal"/>
    <w:link w:val="CommentTextChar"/>
    <w:uiPriority w:val="99"/>
    <w:semiHidden/>
    <w:unhideWhenUsed/>
    <w:rsid w:val="00EB01A2"/>
    <w:pPr>
      <w:spacing w:line="240" w:lineRule="auto"/>
    </w:pPr>
    <w:rPr>
      <w:sz w:val="20"/>
      <w:szCs w:val="20"/>
    </w:rPr>
  </w:style>
  <w:style w:type="character" w:customStyle="1" w:styleId="CommentTextChar">
    <w:name w:val="Comment Text Char"/>
    <w:basedOn w:val="DefaultParagraphFont"/>
    <w:link w:val="CommentText"/>
    <w:uiPriority w:val="99"/>
    <w:semiHidden/>
    <w:rsid w:val="00EB01A2"/>
    <w:rPr>
      <w:sz w:val="20"/>
      <w:szCs w:val="20"/>
    </w:rPr>
  </w:style>
  <w:style w:type="paragraph" w:styleId="CommentSubject">
    <w:name w:val="annotation subject"/>
    <w:basedOn w:val="CommentText"/>
    <w:next w:val="CommentText"/>
    <w:link w:val="CommentSubjectChar"/>
    <w:uiPriority w:val="99"/>
    <w:semiHidden/>
    <w:unhideWhenUsed/>
    <w:rsid w:val="00EB01A2"/>
    <w:rPr>
      <w:b/>
      <w:bCs/>
    </w:rPr>
  </w:style>
  <w:style w:type="character" w:customStyle="1" w:styleId="CommentSubjectChar">
    <w:name w:val="Comment Subject Char"/>
    <w:basedOn w:val="CommentTextChar"/>
    <w:link w:val="CommentSubject"/>
    <w:uiPriority w:val="99"/>
    <w:semiHidden/>
    <w:rsid w:val="00EB01A2"/>
    <w:rPr>
      <w:b/>
      <w:bCs/>
      <w:sz w:val="20"/>
      <w:szCs w:val="20"/>
    </w:rPr>
  </w:style>
  <w:style w:type="paragraph" w:styleId="Revision">
    <w:name w:val="Revision"/>
    <w:hidden/>
    <w:uiPriority w:val="99"/>
    <w:semiHidden/>
    <w:rsid w:val="001F4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F050-6A08-4E68-92AB-40E3AE25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rclements</dc:creator>
  <cp:lastModifiedBy>rclements</cp:lastModifiedBy>
  <cp:revision>4</cp:revision>
  <dcterms:created xsi:type="dcterms:W3CDTF">2016-04-21T21:07:00Z</dcterms:created>
  <dcterms:modified xsi:type="dcterms:W3CDTF">2016-04-21T23:11:00Z</dcterms:modified>
</cp:coreProperties>
</file>